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8DB87" w14:textId="77777777" w:rsidR="005B4F86" w:rsidRDefault="005B4F86" w:rsidP="00BC0CFD">
      <w:pPr>
        <w:pStyle w:val="Heading1"/>
        <w:pBdr>
          <w:bottom w:val="single" w:sz="4" w:space="1" w:color="auto"/>
        </w:pBdr>
        <w:jc w:val="center"/>
      </w:pPr>
      <w:r>
        <w:rPr>
          <w:noProof/>
          <w:lang w:eastAsia="en-GB"/>
        </w:rPr>
        <w:drawing>
          <wp:anchor distT="0" distB="0" distL="114300" distR="114300" simplePos="0" relativeHeight="251658240" behindDoc="0" locked="0" layoutInCell="1" allowOverlap="1" wp14:anchorId="45EC40EF" wp14:editId="1383F010">
            <wp:simplePos x="0" y="0"/>
            <wp:positionH relativeFrom="column">
              <wp:posOffset>-182880</wp:posOffset>
            </wp:positionH>
            <wp:positionV relativeFrom="paragraph">
              <wp:posOffset>-324619</wp:posOffset>
            </wp:positionV>
            <wp:extent cx="2739992" cy="512064"/>
            <wp:effectExtent l="0" t="0" r="381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9992" cy="5120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2304C6" w14:textId="77777777" w:rsidR="005B4F86" w:rsidRDefault="005B4F86" w:rsidP="00BC0CFD">
      <w:pPr>
        <w:pStyle w:val="Heading1"/>
        <w:pBdr>
          <w:bottom w:val="single" w:sz="4" w:space="1" w:color="auto"/>
        </w:pBdr>
        <w:jc w:val="center"/>
      </w:pPr>
    </w:p>
    <w:p w14:paraId="397B1CD6" w14:textId="77777777" w:rsidR="00BC0CFD" w:rsidRDefault="00BC0CFD" w:rsidP="00BC0CFD">
      <w:pPr>
        <w:pStyle w:val="Heading1"/>
        <w:pBdr>
          <w:bottom w:val="single" w:sz="4" w:space="1" w:color="auto"/>
        </w:pBdr>
        <w:jc w:val="center"/>
      </w:pPr>
      <w:r>
        <w:t>Terms of Reference</w:t>
      </w:r>
    </w:p>
    <w:p w14:paraId="430E0FCA" w14:textId="0D097514" w:rsidR="00BC0CFD" w:rsidRDefault="00FA6FEA" w:rsidP="00FA6FEA">
      <w:pPr>
        <w:pStyle w:val="Heading2"/>
        <w:jc w:val="center"/>
      </w:pPr>
      <w:r>
        <w:t xml:space="preserve">Implementing Partner (National NGO) to </w:t>
      </w:r>
      <w:r w:rsidR="00BD1543">
        <w:t xml:space="preserve">conduct Business Plan Competitions and manage in-kind </w:t>
      </w:r>
      <w:r>
        <w:t>start</w:t>
      </w:r>
      <w:r w:rsidR="00A16C39">
        <w:t>-</w:t>
      </w:r>
      <w:r>
        <w:t xml:space="preserve">up </w:t>
      </w:r>
      <w:r w:rsidR="00BD1543">
        <w:t>kit</w:t>
      </w:r>
      <w:r>
        <w:t xml:space="preserve"> distribution in the targeted localities </w:t>
      </w:r>
      <w:r w:rsidR="00BD1543">
        <w:t>in</w:t>
      </w:r>
      <w:r>
        <w:t xml:space="preserve"> East Darfur and West Kordofan</w:t>
      </w:r>
    </w:p>
    <w:p w14:paraId="0D808E41" w14:textId="3C1B13B7" w:rsidR="00BC0CFD" w:rsidRDefault="00BC0CFD" w:rsidP="00BC0CFD">
      <w:pPr>
        <w:jc w:val="center"/>
      </w:pPr>
    </w:p>
    <w:p w14:paraId="75D02141" w14:textId="77777777" w:rsidR="00E622D4" w:rsidRDefault="00E622D4" w:rsidP="00BC0CFD">
      <w:pPr>
        <w:jc w:val="center"/>
      </w:pPr>
    </w:p>
    <w:p w14:paraId="3C674C05" w14:textId="06F9F2F9" w:rsidR="00F54F60" w:rsidRPr="00F54F60" w:rsidRDefault="00F54F60" w:rsidP="00B10E4E">
      <w:pPr>
        <w:spacing w:after="0"/>
      </w:pPr>
      <w:r w:rsidRPr="00A03F75">
        <w:rPr>
          <w:b/>
          <w:bCs/>
        </w:rPr>
        <w:t xml:space="preserve">Start </w:t>
      </w:r>
      <w:r w:rsidR="0034438D" w:rsidRPr="00A03F75">
        <w:rPr>
          <w:b/>
          <w:bCs/>
        </w:rPr>
        <w:t>D</w:t>
      </w:r>
      <w:r w:rsidRPr="00A03F75">
        <w:rPr>
          <w:b/>
          <w:bCs/>
        </w:rPr>
        <w:t>ate</w:t>
      </w:r>
      <w:r w:rsidRPr="00F54F60">
        <w:t xml:space="preserve">: </w:t>
      </w:r>
      <w:r>
        <w:t>01/0</w:t>
      </w:r>
      <w:r w:rsidR="00B650B1">
        <w:t>8</w:t>
      </w:r>
      <w:r>
        <w:t>/2022</w:t>
      </w:r>
    </w:p>
    <w:p w14:paraId="61DC2E3C" w14:textId="799FA641" w:rsidR="00F54F60" w:rsidRPr="00F54F60" w:rsidRDefault="00F54F60" w:rsidP="00B10E4E">
      <w:pPr>
        <w:spacing w:after="0"/>
      </w:pPr>
      <w:r w:rsidRPr="00A03F75">
        <w:rPr>
          <w:b/>
          <w:bCs/>
        </w:rPr>
        <w:t xml:space="preserve">End </w:t>
      </w:r>
      <w:r w:rsidR="0034438D" w:rsidRPr="00A03F75">
        <w:rPr>
          <w:b/>
          <w:bCs/>
        </w:rPr>
        <w:t>D</w:t>
      </w:r>
      <w:r w:rsidRPr="00A03F75">
        <w:rPr>
          <w:b/>
          <w:bCs/>
        </w:rPr>
        <w:t>ate:</w:t>
      </w:r>
      <w:r w:rsidRPr="00F54F60">
        <w:t xml:space="preserve"> </w:t>
      </w:r>
      <w:r>
        <w:t>30/</w:t>
      </w:r>
      <w:r w:rsidR="00B650B1">
        <w:t>12</w:t>
      </w:r>
      <w:r>
        <w:t>/2023</w:t>
      </w:r>
    </w:p>
    <w:p w14:paraId="17DE0D3C" w14:textId="4C98A948" w:rsidR="005B4F86" w:rsidRDefault="005B4F86" w:rsidP="00BC0CFD">
      <w:pPr>
        <w:jc w:val="center"/>
      </w:pPr>
    </w:p>
    <w:p w14:paraId="17A313F0" w14:textId="77777777" w:rsidR="00E622D4" w:rsidRDefault="00E622D4" w:rsidP="00BC0CFD">
      <w:pPr>
        <w:jc w:val="center"/>
      </w:pPr>
    </w:p>
    <w:p w14:paraId="5C80D7A0" w14:textId="5A7D9B12" w:rsidR="00BC0CFD" w:rsidRDefault="00DC1ECA" w:rsidP="00BC0CFD">
      <w:pPr>
        <w:pStyle w:val="Heading2"/>
      </w:pPr>
      <w:r>
        <w:t>B</w:t>
      </w:r>
      <w:r w:rsidR="00BC0CFD">
        <w:t xml:space="preserve">ACKGROUND </w:t>
      </w:r>
    </w:p>
    <w:p w14:paraId="42D00C08" w14:textId="77777777" w:rsidR="00E238AB" w:rsidRPr="005A5752" w:rsidRDefault="00E238AB" w:rsidP="00E238AB">
      <w:pPr>
        <w:jc w:val="both"/>
        <w:rPr>
          <w:i/>
        </w:rPr>
      </w:pPr>
      <w:r w:rsidRPr="005A5752">
        <w:t xml:space="preserve">The </w:t>
      </w:r>
      <w:r w:rsidRPr="005A5752">
        <w:rPr>
          <w:i/>
        </w:rPr>
        <w:t>Partnership for Improving Prospects for Forcibly Displaced Persons and Host Communities</w:t>
      </w:r>
      <w:r w:rsidRPr="005A5752">
        <w:t xml:space="preserve"> (</w:t>
      </w:r>
      <w:hyperlink r:id="rId9" w:history="1">
        <w:r w:rsidRPr="005A5752">
          <w:rPr>
            <w:rStyle w:val="Hyperlink"/>
          </w:rPr>
          <w:t>PROSPECTS</w:t>
        </w:r>
      </w:hyperlink>
      <w:r w:rsidRPr="005A5752">
        <w:t>)</w:t>
      </w:r>
      <w:r w:rsidRPr="005A5752">
        <w:rPr>
          <w:i/>
        </w:rPr>
        <w:t xml:space="preserve">, </w:t>
      </w:r>
      <w:r w:rsidRPr="005A5752">
        <w:rPr>
          <w:iCs/>
        </w:rPr>
        <w:t xml:space="preserve">that is </w:t>
      </w:r>
      <w:r w:rsidRPr="005A5752">
        <w:t xml:space="preserve">funded by the Government of the Netherlands, brings together four agencies (IFC, ILO, UNHCR, and UNICEF) to devise collaborative and innovative approaches for inclusive job creation and education in contexts characterized by forced displacement. The technical assistance interventions are being implemented under three operational pillars: Pillar 1: </w:t>
      </w:r>
      <w:r w:rsidRPr="005A5752">
        <w:rPr>
          <w:lang w:val="en-US"/>
        </w:rPr>
        <w:t>Education and Learning; Pillar 2: Employment with Dignity, and Pillar 3: Protection and Inclusion.</w:t>
      </w:r>
    </w:p>
    <w:p w14:paraId="626AD303" w14:textId="3EA23203" w:rsidR="00E238AB" w:rsidRPr="00E66C2A" w:rsidRDefault="00E238AB" w:rsidP="00CC0C2C">
      <w:pPr>
        <w:jc w:val="both"/>
      </w:pPr>
      <w:r w:rsidRPr="00E66C2A">
        <w:t xml:space="preserve">Based on </w:t>
      </w:r>
      <w:r w:rsidR="00BA08D3" w:rsidRPr="00E66C2A">
        <w:t>PROSPECTS project</w:t>
      </w:r>
      <w:r w:rsidRPr="00E66C2A">
        <w:t xml:space="preserve"> baseline survey undertaken in 2020, s</w:t>
      </w:r>
      <w:r w:rsidR="0038672C" w:rsidRPr="00E66C2A">
        <w:t>ome of the key challenges in the target</w:t>
      </w:r>
      <w:r w:rsidRPr="00E66C2A">
        <w:t>ed</w:t>
      </w:r>
      <w:r w:rsidR="0038672C" w:rsidRPr="00E66C2A">
        <w:t xml:space="preserve"> locations are</w:t>
      </w:r>
      <w:r w:rsidR="00E66C2A" w:rsidRPr="00E66C2A">
        <w:t>:</w:t>
      </w:r>
      <w:r w:rsidR="0038672C" w:rsidRPr="00E66C2A">
        <w:t xml:space="preserve"> high </w:t>
      </w:r>
      <w:r w:rsidR="00CE7E81" w:rsidRPr="00CE7E81">
        <w:t>household vulnerability</w:t>
      </w:r>
      <w:r w:rsidR="00CE7E81">
        <w:t>, h</w:t>
      </w:r>
      <w:r w:rsidR="00CE7E81" w:rsidRPr="00CE7E81">
        <w:t>igh unemployment rates;</w:t>
      </w:r>
      <w:r w:rsidR="00CE7E81">
        <w:t xml:space="preserve"> l</w:t>
      </w:r>
      <w:r w:rsidR="00CE7E81" w:rsidRPr="00CE7E81">
        <w:t>ower average rates;</w:t>
      </w:r>
      <w:r w:rsidR="00CE7E81">
        <w:t xml:space="preserve"> l</w:t>
      </w:r>
      <w:r w:rsidR="00CE7E81" w:rsidRPr="00CE7E81">
        <w:t>ow household income levels</w:t>
      </w:r>
      <w:r w:rsidR="00CE7E81">
        <w:t>; l</w:t>
      </w:r>
      <w:r w:rsidR="00CE7E81" w:rsidRPr="00CE7E81">
        <w:t>imited access to social protection services</w:t>
      </w:r>
      <w:r w:rsidR="00CE7E81">
        <w:t>; u</w:t>
      </w:r>
      <w:r w:rsidR="00CE7E81" w:rsidRPr="00CE7E81">
        <w:t>nsafe working conditions</w:t>
      </w:r>
      <w:r w:rsidR="00CE7E81">
        <w:t>, l</w:t>
      </w:r>
      <w:r w:rsidR="00CE7E81" w:rsidRPr="00CE7E81">
        <w:t>ow purchasing power; and</w:t>
      </w:r>
      <w:r w:rsidR="00CE7E81">
        <w:t xml:space="preserve"> </w:t>
      </w:r>
      <w:r w:rsidR="00CE7E81" w:rsidRPr="00CE7E81">
        <w:t>Lack of accessible financial services.</w:t>
      </w:r>
    </w:p>
    <w:p w14:paraId="5EA0F909" w14:textId="3FE323B2" w:rsidR="00E66C2A" w:rsidRPr="00E66C2A" w:rsidRDefault="0038672C" w:rsidP="00E66C2A">
      <w:pPr>
        <w:jc w:val="both"/>
      </w:pPr>
      <w:r w:rsidRPr="00E66C2A">
        <w:t>Business owners</w:t>
      </w:r>
      <w:r w:rsidR="00E238AB" w:rsidRPr="00E66C2A">
        <w:t xml:space="preserve"> however in the targeted locations</w:t>
      </w:r>
      <w:r w:rsidR="009F6287" w:rsidRPr="00E66C2A">
        <w:t xml:space="preserve">, as </w:t>
      </w:r>
      <w:r w:rsidR="00E66C2A">
        <w:t xml:space="preserve">indicated </w:t>
      </w:r>
      <w:r w:rsidR="009F6287" w:rsidRPr="00E66C2A">
        <w:t>in the baseline survey,</w:t>
      </w:r>
      <w:r w:rsidR="00E238AB" w:rsidRPr="00E66C2A">
        <w:t xml:space="preserve"> </w:t>
      </w:r>
      <w:r w:rsidRPr="00E66C2A">
        <w:t xml:space="preserve">have slightly higher household </w:t>
      </w:r>
      <w:proofErr w:type="gramStart"/>
      <w:r w:rsidR="00E238AB" w:rsidRPr="00E66C2A">
        <w:t>incomes</w:t>
      </w:r>
      <w:proofErr w:type="gramEnd"/>
      <w:r w:rsidR="00E238AB" w:rsidRPr="00E66C2A">
        <w:t xml:space="preserve"> and</w:t>
      </w:r>
      <w:r w:rsidRPr="00E66C2A">
        <w:t xml:space="preserve"> score slightly better on some of the vulnerability indicators (such as the ability to save) than community members in the household survey. </w:t>
      </w:r>
      <w:r w:rsidR="00E238AB" w:rsidRPr="00E66C2A">
        <w:t xml:space="preserve">However, they </w:t>
      </w:r>
      <w:r w:rsidRPr="00E66C2A">
        <w:t xml:space="preserve">operate at a highly localized scale, often at the very end of the value chain, without engaging in value-adding business activities. </w:t>
      </w:r>
      <w:r w:rsidR="00E66C2A" w:rsidRPr="00E66C2A">
        <w:t xml:space="preserve">Interviews undertaken as part of the baseline have found that </w:t>
      </w:r>
      <w:r w:rsidR="00A5441D">
        <w:t xml:space="preserve">successful enterprises are those that have </w:t>
      </w:r>
      <w:r w:rsidR="00E66C2A" w:rsidRPr="00E66C2A">
        <w:t xml:space="preserve">access to capital (although limited) together with strong financial management skills. Most of these </w:t>
      </w:r>
      <w:r w:rsidR="00A5441D">
        <w:t>‘</w:t>
      </w:r>
      <w:r w:rsidR="00E66C2A" w:rsidRPr="00E66C2A">
        <w:t>success stories</w:t>
      </w:r>
      <w:r w:rsidR="00A5441D">
        <w:t>’</w:t>
      </w:r>
      <w:r w:rsidR="00E66C2A" w:rsidRPr="00E66C2A">
        <w:t>, have one or more of following aspects in common:  were able to obtain capital (by saving, as a gift from household members, or as support through a development assistance programme) and/or they closely managed limited available funds (that is, carefully considered income, expenses, and investments).</w:t>
      </w:r>
    </w:p>
    <w:p w14:paraId="1537223F" w14:textId="07DD362A" w:rsidR="00E238AB" w:rsidRPr="00E66C2A" w:rsidRDefault="00A5441D" w:rsidP="00E66C2A">
      <w:pPr>
        <w:jc w:val="both"/>
      </w:pPr>
      <w:r>
        <w:t xml:space="preserve">Under </w:t>
      </w:r>
      <w:r w:rsidR="00E66C2A" w:rsidRPr="005A5752">
        <w:t xml:space="preserve">Pillar 2, </w:t>
      </w:r>
      <w:r w:rsidR="00E66C2A">
        <w:t xml:space="preserve">PROSPECTS </w:t>
      </w:r>
      <w:r w:rsidR="00E66C2A" w:rsidRPr="005A5752">
        <w:t xml:space="preserve">is </w:t>
      </w:r>
      <w:r w:rsidR="00E66C2A" w:rsidRPr="00E66C2A">
        <w:t xml:space="preserve">encouraging entrepreneurship </w:t>
      </w:r>
      <w:r w:rsidR="00205A51">
        <w:t xml:space="preserve">development through a number of different streams of assistance </w:t>
      </w:r>
      <w:proofErr w:type="gramStart"/>
      <w:r w:rsidR="00205A51">
        <w:t xml:space="preserve">including; </w:t>
      </w:r>
      <w:r w:rsidR="00E66C2A" w:rsidRPr="00E66C2A">
        <w:t xml:space="preserve"> </w:t>
      </w:r>
      <w:r w:rsidR="00205A51">
        <w:t>reducing</w:t>
      </w:r>
      <w:proofErr w:type="gramEnd"/>
      <w:r w:rsidR="00E66C2A" w:rsidRPr="00E66C2A">
        <w:t xml:space="preserve"> decent work </w:t>
      </w:r>
      <w:r w:rsidR="00205A51">
        <w:t xml:space="preserve">deficits, improving </w:t>
      </w:r>
      <w:r w:rsidR="00E66C2A" w:rsidRPr="00E66C2A">
        <w:t xml:space="preserve">access to finance, </w:t>
      </w:r>
      <w:r w:rsidR="00205A51">
        <w:t xml:space="preserve">providing </w:t>
      </w:r>
      <w:r w:rsidR="00E66C2A" w:rsidRPr="00E66C2A">
        <w:t xml:space="preserve">financial literacy </w:t>
      </w:r>
      <w:r w:rsidR="00205A51">
        <w:t xml:space="preserve">and </w:t>
      </w:r>
      <w:r w:rsidR="00E66C2A" w:rsidRPr="00E66C2A">
        <w:t>entrepreneurship training such as Generate Your Business Idea and Start Your Business (SYB).</w:t>
      </w:r>
      <w:r w:rsidR="00205A51">
        <w:t xml:space="preserve">This comprehensive and multidimensional approach is expected to </w:t>
      </w:r>
      <w:r w:rsidR="0038672C" w:rsidRPr="00E66C2A">
        <w:t xml:space="preserve">make larger </w:t>
      </w:r>
      <w:r w:rsidR="00E238AB" w:rsidRPr="00E66C2A">
        <w:t xml:space="preserve">regional </w:t>
      </w:r>
      <w:r w:rsidR="0038672C" w:rsidRPr="00E66C2A">
        <w:t xml:space="preserve">market networks </w:t>
      </w:r>
      <w:r w:rsidR="00205A51">
        <w:t xml:space="preserve">more </w:t>
      </w:r>
      <w:r w:rsidR="0038672C" w:rsidRPr="00E66C2A">
        <w:t>accessible for community members</w:t>
      </w:r>
      <w:r w:rsidR="00205A51">
        <w:t>. In addition</w:t>
      </w:r>
      <w:r w:rsidR="0038672C" w:rsidRPr="00E66C2A">
        <w:t xml:space="preserve">, PROSPECTS </w:t>
      </w:r>
      <w:r w:rsidR="00E238AB" w:rsidRPr="00E66C2A">
        <w:t xml:space="preserve">aims to support micro-entrepreneurs with grants </w:t>
      </w:r>
      <w:r w:rsidR="005B378C" w:rsidRPr="00E66C2A">
        <w:t xml:space="preserve">to </w:t>
      </w:r>
      <w:r w:rsidR="009F6287" w:rsidRPr="00E66C2A">
        <w:t>facilitate</w:t>
      </w:r>
      <w:r w:rsidR="00E238AB" w:rsidRPr="00E66C2A">
        <w:t xml:space="preserve"> </w:t>
      </w:r>
      <w:r w:rsidR="00205A51">
        <w:t xml:space="preserve">the creation of sustainable </w:t>
      </w:r>
      <w:r w:rsidR="00E238AB" w:rsidRPr="00E66C2A">
        <w:t xml:space="preserve">business models that align with the </w:t>
      </w:r>
      <w:r w:rsidR="00205A51">
        <w:t xml:space="preserve">market </w:t>
      </w:r>
      <w:r w:rsidR="00E238AB" w:rsidRPr="00E66C2A">
        <w:t xml:space="preserve">opportunities identified </w:t>
      </w:r>
      <w:r w:rsidR="005B378C" w:rsidRPr="00E66C2A">
        <w:t xml:space="preserve">in </w:t>
      </w:r>
      <w:r w:rsidR="00E66C2A">
        <w:t xml:space="preserve">ILO value chain </w:t>
      </w:r>
      <w:r w:rsidR="00205A51">
        <w:t>assessments</w:t>
      </w:r>
      <w:r w:rsidR="00E66C2A">
        <w:t xml:space="preserve"> and </w:t>
      </w:r>
      <w:r w:rsidR="00205A51">
        <w:t>economic sector studies</w:t>
      </w:r>
      <w:r w:rsidR="00E238AB" w:rsidRPr="00E66C2A">
        <w:t xml:space="preserve">. </w:t>
      </w:r>
    </w:p>
    <w:p w14:paraId="432ED949" w14:textId="77777777" w:rsidR="00BC0CFD" w:rsidRDefault="00BC0CFD" w:rsidP="005B4F86">
      <w:pPr>
        <w:pStyle w:val="Heading2"/>
        <w:jc w:val="both"/>
      </w:pPr>
      <w:r>
        <w:lastRenderedPageBreak/>
        <w:t>OVERALL OBJECTIVES</w:t>
      </w:r>
    </w:p>
    <w:p w14:paraId="1D994D54" w14:textId="77777777" w:rsidR="00B148C1" w:rsidRDefault="00071D3F" w:rsidP="00071D3F">
      <w:pPr>
        <w:jc w:val="both"/>
      </w:pPr>
      <w:r>
        <w:t>T</w:t>
      </w:r>
      <w:r w:rsidRPr="00071D3F">
        <w:t xml:space="preserve">he </w:t>
      </w:r>
      <w:r>
        <w:t xml:space="preserve">objective of this intervention is </w:t>
      </w:r>
      <w:r w:rsidR="0039625C">
        <w:t xml:space="preserve">to </w:t>
      </w:r>
      <w:r w:rsidR="00B650B1">
        <w:t>select</w:t>
      </w:r>
      <w:r w:rsidR="0039625C">
        <w:t xml:space="preserve"> a </w:t>
      </w:r>
      <w:r w:rsidR="009F6287">
        <w:t>national NGO to</w:t>
      </w:r>
      <w:r w:rsidR="00B148C1">
        <w:t>:</w:t>
      </w:r>
    </w:p>
    <w:p w14:paraId="7D0F36C1" w14:textId="25A6C47D" w:rsidR="00B650B1" w:rsidRDefault="00B148C1" w:rsidP="00594608">
      <w:pPr>
        <w:pStyle w:val="ListParagraph"/>
        <w:numPr>
          <w:ilvl w:val="0"/>
          <w:numId w:val="20"/>
        </w:numPr>
        <w:ind w:left="360"/>
        <w:jc w:val="both"/>
      </w:pPr>
      <w:r>
        <w:t>U</w:t>
      </w:r>
      <w:r w:rsidR="009F6287">
        <w:t xml:space="preserve">ndertake a Business Plan Competition for </w:t>
      </w:r>
      <w:r w:rsidR="002B0114">
        <w:t>500 entrepreneur</w:t>
      </w:r>
      <w:r>
        <w:t>s</w:t>
      </w:r>
      <w:r w:rsidR="002B0114">
        <w:t xml:space="preserve"> (50% refugees and 50% host community</w:t>
      </w:r>
      <w:r w:rsidR="00F9503A">
        <w:t xml:space="preserve"> and 20% social entrepreneurs</w:t>
      </w:r>
      <w:r w:rsidR="002B0114">
        <w:t>) that have already been trained on GYB</w:t>
      </w:r>
      <w:r>
        <w:t>, SYB</w:t>
      </w:r>
      <w:r w:rsidR="002B0114">
        <w:t xml:space="preserve"> and Financial Education modules. </w:t>
      </w:r>
      <w:r w:rsidR="0013523B">
        <w:t xml:space="preserve">This will take place in </w:t>
      </w:r>
      <w:r w:rsidR="0013523B" w:rsidRPr="0013523B">
        <w:t xml:space="preserve">El </w:t>
      </w:r>
      <w:proofErr w:type="spellStart"/>
      <w:r w:rsidR="0013523B" w:rsidRPr="0013523B">
        <w:t>Nimir</w:t>
      </w:r>
      <w:proofErr w:type="spellEnd"/>
      <w:r w:rsidR="0013523B" w:rsidRPr="0013523B">
        <w:t xml:space="preserve"> Refugee Camp</w:t>
      </w:r>
      <w:r w:rsidR="0013523B">
        <w:t xml:space="preserve">, </w:t>
      </w:r>
      <w:proofErr w:type="spellStart"/>
      <w:r w:rsidR="0013523B" w:rsidRPr="0013523B">
        <w:t>Assalaya</w:t>
      </w:r>
      <w:proofErr w:type="spellEnd"/>
      <w:r w:rsidR="0013523B" w:rsidRPr="0013523B">
        <w:t xml:space="preserve"> </w:t>
      </w:r>
      <w:r w:rsidR="0013523B">
        <w:t>locality</w:t>
      </w:r>
      <w:r w:rsidR="0013523B" w:rsidRPr="0013523B">
        <w:t xml:space="preserve"> </w:t>
      </w:r>
      <w:r w:rsidR="0013523B">
        <w:t>(</w:t>
      </w:r>
      <w:r w:rsidR="0013523B" w:rsidRPr="0013523B">
        <w:t xml:space="preserve">East </w:t>
      </w:r>
      <w:r w:rsidR="0013523B" w:rsidRPr="00CC0C2C">
        <w:t xml:space="preserve">Darfur), </w:t>
      </w:r>
      <w:proofErr w:type="spellStart"/>
      <w:r w:rsidR="0013523B" w:rsidRPr="00CC0C2C">
        <w:t>Kharasana</w:t>
      </w:r>
      <w:proofErr w:type="spellEnd"/>
      <w:r w:rsidR="0013523B" w:rsidRPr="00CC0C2C">
        <w:t xml:space="preserve"> and El </w:t>
      </w:r>
      <w:proofErr w:type="spellStart"/>
      <w:r w:rsidR="0013523B" w:rsidRPr="00CC0C2C">
        <w:t>Meiram</w:t>
      </w:r>
      <w:proofErr w:type="spellEnd"/>
      <w:r w:rsidR="0013523B" w:rsidRPr="00CC0C2C">
        <w:t xml:space="preserve"> (West Kordofan). </w:t>
      </w:r>
      <w:r w:rsidR="002B0114" w:rsidRPr="00CC0C2C">
        <w:t xml:space="preserve">Based on a jointly agreed selection criteria, </w:t>
      </w:r>
      <w:r w:rsidRPr="00CC0C2C">
        <w:t>the Business Plan Competition will lead to selecting 25</w:t>
      </w:r>
      <w:r w:rsidR="002B0114" w:rsidRPr="00CC0C2C">
        <w:t xml:space="preserve">0 micro-entrepreneurs </w:t>
      </w:r>
      <w:r w:rsidRPr="00CC0C2C">
        <w:t>who will</w:t>
      </w:r>
      <w:r w:rsidR="002B0114" w:rsidRPr="00CC0C2C">
        <w:t xml:space="preserve"> receive </w:t>
      </w:r>
      <w:r w:rsidR="00F9503A" w:rsidRPr="00CC0C2C">
        <w:t>in-kind</w:t>
      </w:r>
      <w:r w:rsidR="002B0114" w:rsidRPr="00CC0C2C">
        <w:t xml:space="preserve"> grant</w:t>
      </w:r>
      <w:r w:rsidR="00EB7998" w:rsidRPr="00CC0C2C">
        <w:t>s</w:t>
      </w:r>
      <w:r w:rsidR="002B0114" w:rsidRPr="00CC0C2C">
        <w:t xml:space="preserve"> </w:t>
      </w:r>
      <w:r w:rsidR="00812CDF" w:rsidRPr="00CC0C2C">
        <w:t xml:space="preserve">that </w:t>
      </w:r>
      <w:r w:rsidR="00EB7998" w:rsidRPr="00CC0C2C">
        <w:t>range</w:t>
      </w:r>
      <w:r w:rsidR="00812CDF" w:rsidRPr="00CC0C2C">
        <w:t xml:space="preserve"> </w:t>
      </w:r>
      <w:r w:rsidR="002B0114" w:rsidRPr="00CC0C2C">
        <w:t>between $100-$300 based</w:t>
      </w:r>
      <w:r w:rsidR="002B0114">
        <w:t xml:space="preserve"> on their business idea</w:t>
      </w:r>
      <w:r>
        <w:t>s</w:t>
      </w:r>
      <w:r w:rsidR="002B0114">
        <w:t xml:space="preserve"> and whether they aim to work individually or in </w:t>
      </w:r>
      <w:proofErr w:type="gramStart"/>
      <w:r w:rsidR="002B0114">
        <w:t>groups</w:t>
      </w:r>
      <w:r w:rsidR="0013523B">
        <w:t>;</w:t>
      </w:r>
      <w:proofErr w:type="gramEnd"/>
      <w:r w:rsidR="002B0114">
        <w:t xml:space="preserve"> </w:t>
      </w:r>
    </w:p>
    <w:p w14:paraId="2E208C31" w14:textId="77777777" w:rsidR="008A059C" w:rsidRDefault="00F9503A" w:rsidP="00594608">
      <w:pPr>
        <w:pStyle w:val="ListParagraph"/>
        <w:numPr>
          <w:ilvl w:val="0"/>
          <w:numId w:val="20"/>
        </w:numPr>
        <w:ind w:left="360"/>
        <w:jc w:val="both"/>
      </w:pPr>
      <w:r>
        <w:t>Manage the procurement of the in-kind grant</w:t>
      </w:r>
      <w:r w:rsidR="00EB7998">
        <w:t>s (</w:t>
      </w:r>
      <w:proofErr w:type="gramStart"/>
      <w:r w:rsidR="00EB7998">
        <w:t>i.e.</w:t>
      </w:r>
      <w:proofErr w:type="gramEnd"/>
      <w:r w:rsidR="00EB7998">
        <w:t xml:space="preserve"> </w:t>
      </w:r>
      <w:r>
        <w:t>start-up kits</w:t>
      </w:r>
      <w:r w:rsidR="00EB7998">
        <w:t>)</w:t>
      </w:r>
      <w:r>
        <w:t xml:space="preserve">. This includes agreeing with Business Plan Competition winners on items to procure </w:t>
      </w:r>
      <w:r w:rsidRPr="00EB7998">
        <w:rPr>
          <w:b/>
          <w:bCs/>
          <w:u w:val="single"/>
        </w:rPr>
        <w:t>from the local market</w:t>
      </w:r>
      <w:r>
        <w:t xml:space="preserve"> all the way through delivering the agreed items to the entrepreneurs</w:t>
      </w:r>
      <w:r w:rsidR="00EB7998">
        <w:t xml:space="preserve"> using transparent procurement </w:t>
      </w:r>
      <w:proofErr w:type="gramStart"/>
      <w:r w:rsidR="00EB7998">
        <w:t>processes</w:t>
      </w:r>
      <w:r w:rsidR="0013523B">
        <w:t>;</w:t>
      </w:r>
      <w:proofErr w:type="gramEnd"/>
      <w:r w:rsidR="0013523B">
        <w:t xml:space="preserve"> </w:t>
      </w:r>
    </w:p>
    <w:p w14:paraId="41F37D46" w14:textId="367745DB" w:rsidR="00812CDF" w:rsidRDefault="008A059C" w:rsidP="00594608">
      <w:pPr>
        <w:pStyle w:val="ListParagraph"/>
        <w:numPr>
          <w:ilvl w:val="0"/>
          <w:numId w:val="20"/>
        </w:numPr>
        <w:ind w:left="360"/>
        <w:jc w:val="both"/>
      </w:pPr>
      <w:r>
        <w:t xml:space="preserve">Follow up on the grantees with </w:t>
      </w:r>
      <w:r w:rsidR="00F26C9F">
        <w:t xml:space="preserve">support and linkages to </w:t>
      </w:r>
      <w:r>
        <w:t xml:space="preserve">BDS mentoring and </w:t>
      </w:r>
      <w:r w:rsidR="00F26C9F">
        <w:t>to FSPs</w:t>
      </w:r>
      <w:r>
        <w:t xml:space="preserve">; </w:t>
      </w:r>
      <w:r w:rsidR="0013523B">
        <w:t>and</w:t>
      </w:r>
    </w:p>
    <w:p w14:paraId="140360B4" w14:textId="62EC0738" w:rsidR="0013523B" w:rsidRDefault="0013523B" w:rsidP="00594608">
      <w:pPr>
        <w:pStyle w:val="ListParagraph"/>
        <w:numPr>
          <w:ilvl w:val="0"/>
          <w:numId w:val="20"/>
        </w:numPr>
        <w:ind w:left="360"/>
        <w:jc w:val="both"/>
      </w:pPr>
      <w:r>
        <w:t xml:space="preserve">Document for 20 success stories across all localities after 6 months from receiving the in-kind grant.  </w:t>
      </w:r>
    </w:p>
    <w:p w14:paraId="382B58EC" w14:textId="52D9432A" w:rsidR="00E5066E" w:rsidRDefault="00E5066E" w:rsidP="005E5384">
      <w:pPr>
        <w:jc w:val="both"/>
      </w:pPr>
      <w:r w:rsidRPr="008721C4">
        <w:t xml:space="preserve">This </w:t>
      </w:r>
      <w:r w:rsidR="00DC5780" w:rsidRPr="008721C4">
        <w:t xml:space="preserve">is </w:t>
      </w:r>
      <w:r w:rsidRPr="008721C4">
        <w:t xml:space="preserve">to be </w:t>
      </w:r>
      <w:r w:rsidR="00164B62" w:rsidRPr="008721C4">
        <w:t>delivered</w:t>
      </w:r>
      <w:r w:rsidR="00DC1ECA" w:rsidRPr="008721C4">
        <w:t>,</w:t>
      </w:r>
      <w:r w:rsidRPr="008721C4">
        <w:t xml:space="preserve"> through </w:t>
      </w:r>
      <w:r w:rsidR="00D433E3" w:rsidRPr="008721C4">
        <w:t xml:space="preserve">continued consultations with PROSPECTS project team </w:t>
      </w:r>
      <w:r w:rsidR="005A01FA" w:rsidRPr="008721C4">
        <w:t xml:space="preserve">and </w:t>
      </w:r>
      <w:r w:rsidR="00277F30">
        <w:t>ILO</w:t>
      </w:r>
      <w:r w:rsidR="005A01FA" w:rsidRPr="008721C4">
        <w:t xml:space="preserve"> Specialists </w:t>
      </w:r>
      <w:r w:rsidR="00D433E3" w:rsidRPr="008721C4">
        <w:t xml:space="preserve">and using a results-based approach. </w:t>
      </w:r>
      <w:r w:rsidR="002D4723" w:rsidRPr="008721C4">
        <w:t xml:space="preserve">Further breakdown of </w:t>
      </w:r>
      <w:r w:rsidRPr="008721C4">
        <w:t xml:space="preserve">deliverables </w:t>
      </w:r>
      <w:r w:rsidR="002D4723" w:rsidRPr="008721C4">
        <w:t>is</w:t>
      </w:r>
      <w:r w:rsidRPr="008721C4">
        <w:t xml:space="preserve"> detailed in the </w:t>
      </w:r>
      <w:r w:rsidR="002D4723" w:rsidRPr="008721C4">
        <w:rPr>
          <w:i/>
          <w:iCs/>
        </w:rPr>
        <w:t>K</w:t>
      </w:r>
      <w:r w:rsidRPr="008721C4">
        <w:rPr>
          <w:i/>
          <w:iCs/>
        </w:rPr>
        <w:t xml:space="preserve">ey </w:t>
      </w:r>
      <w:r w:rsidR="002D4723" w:rsidRPr="008721C4">
        <w:rPr>
          <w:i/>
          <w:iCs/>
        </w:rPr>
        <w:t>D</w:t>
      </w:r>
      <w:r w:rsidRPr="008721C4">
        <w:rPr>
          <w:i/>
          <w:iCs/>
        </w:rPr>
        <w:t>eliverables</w:t>
      </w:r>
      <w:r w:rsidRPr="008721C4">
        <w:t xml:space="preserve"> section.</w:t>
      </w:r>
    </w:p>
    <w:p w14:paraId="3549F03E" w14:textId="5ABEF00A" w:rsidR="00BC0CFD" w:rsidRDefault="00BC0CFD" w:rsidP="005B4F86">
      <w:pPr>
        <w:pStyle w:val="Heading2"/>
        <w:jc w:val="both"/>
      </w:pPr>
      <w:r>
        <w:t>KEY DELIVERABLES</w:t>
      </w:r>
    </w:p>
    <w:p w14:paraId="70925B2E" w14:textId="56BF23F8" w:rsidR="00BC0CFD" w:rsidRPr="00DD46A1" w:rsidRDefault="002D4723">
      <w:pPr>
        <w:pStyle w:val="Subtitle"/>
        <w:jc w:val="both"/>
        <w:rPr>
          <w:color w:val="2E74B5" w:themeColor="accent1" w:themeShade="BF"/>
        </w:rPr>
      </w:pPr>
      <w:r w:rsidRPr="00DD46A1">
        <w:rPr>
          <w:color w:val="2E74B5" w:themeColor="accent1" w:themeShade="BF"/>
        </w:rPr>
        <w:t xml:space="preserve">PART </w:t>
      </w:r>
      <w:r w:rsidR="00BC0CFD" w:rsidRPr="00DD46A1">
        <w:rPr>
          <w:color w:val="2E74B5" w:themeColor="accent1" w:themeShade="BF"/>
        </w:rPr>
        <w:t xml:space="preserve">A: </w:t>
      </w:r>
      <w:r w:rsidR="009B5C03">
        <w:rPr>
          <w:color w:val="2E74B5" w:themeColor="accent1" w:themeShade="BF"/>
        </w:rPr>
        <w:t xml:space="preserve">Preparation for the </w:t>
      </w:r>
      <w:r w:rsidR="002E1E17">
        <w:rPr>
          <w:color w:val="2E74B5" w:themeColor="accent1" w:themeShade="BF"/>
        </w:rPr>
        <w:t xml:space="preserve">Business </w:t>
      </w:r>
      <w:r w:rsidR="00F20F73">
        <w:rPr>
          <w:color w:val="2E74B5" w:themeColor="accent1" w:themeShade="BF"/>
        </w:rPr>
        <w:t>P</w:t>
      </w:r>
      <w:r w:rsidR="002E1E17">
        <w:rPr>
          <w:color w:val="2E74B5" w:themeColor="accent1" w:themeShade="BF"/>
        </w:rPr>
        <w:t xml:space="preserve">lan </w:t>
      </w:r>
      <w:r w:rsidR="00F20F73">
        <w:rPr>
          <w:color w:val="2E74B5" w:themeColor="accent1" w:themeShade="BF"/>
        </w:rPr>
        <w:t>C</w:t>
      </w:r>
      <w:r w:rsidR="002E1E17">
        <w:rPr>
          <w:color w:val="2E74B5" w:themeColor="accent1" w:themeShade="BF"/>
        </w:rPr>
        <w:t>ompetition</w:t>
      </w:r>
      <w:r w:rsidR="00954F5B">
        <w:rPr>
          <w:color w:val="2E74B5" w:themeColor="accent1" w:themeShade="BF"/>
        </w:rPr>
        <w:t xml:space="preserve"> (BPC)</w:t>
      </w:r>
      <w:r w:rsidR="00BC0CFD" w:rsidRPr="00DD46A1">
        <w:rPr>
          <w:color w:val="2E74B5" w:themeColor="accent1" w:themeShade="BF"/>
        </w:rPr>
        <w:t xml:space="preserve"> </w:t>
      </w:r>
      <w:r w:rsidR="00734AC9">
        <w:rPr>
          <w:color w:val="2E74B5" w:themeColor="accent1" w:themeShade="BF"/>
        </w:rPr>
        <w:t>(</w:t>
      </w:r>
      <w:r w:rsidR="002D5E97">
        <w:rPr>
          <w:color w:val="2E74B5" w:themeColor="accent1" w:themeShade="BF"/>
        </w:rPr>
        <w:t xml:space="preserve">01 Aug – </w:t>
      </w:r>
      <w:r w:rsidR="002E1E17">
        <w:rPr>
          <w:color w:val="2E74B5" w:themeColor="accent1" w:themeShade="BF"/>
        </w:rPr>
        <w:t>3</w:t>
      </w:r>
      <w:r w:rsidR="009B5C03">
        <w:rPr>
          <w:color w:val="2E74B5" w:themeColor="accent1" w:themeShade="BF"/>
        </w:rPr>
        <w:t xml:space="preserve">0 Sep </w:t>
      </w:r>
      <w:r w:rsidR="002D5E97">
        <w:rPr>
          <w:color w:val="2E74B5" w:themeColor="accent1" w:themeShade="BF"/>
        </w:rPr>
        <w:t>2022</w:t>
      </w:r>
      <w:r w:rsidR="00734AC9">
        <w:rPr>
          <w:color w:val="2E74B5" w:themeColor="accent1" w:themeShade="BF"/>
        </w:rPr>
        <w:t>)</w:t>
      </w:r>
    </w:p>
    <w:p w14:paraId="08B46339" w14:textId="571F1432" w:rsidR="006F1E58" w:rsidRDefault="00954F5B" w:rsidP="006F1E58">
      <w:pPr>
        <w:pStyle w:val="ListParagraph"/>
        <w:ind w:left="0"/>
        <w:jc w:val="both"/>
      </w:pPr>
      <w:r>
        <w:t>In consultation with ILO’s project team</w:t>
      </w:r>
      <w:r w:rsidR="006F1E58">
        <w:t xml:space="preserve">, ILO’s </w:t>
      </w:r>
      <w:r>
        <w:t>implementing partner</w:t>
      </w:r>
      <w:r w:rsidR="006F1E58">
        <w:t xml:space="preserve"> and the Local Economic Development Committees:</w:t>
      </w:r>
    </w:p>
    <w:p w14:paraId="5FA54824" w14:textId="4C739C35" w:rsidR="00954F5B" w:rsidRDefault="006F1E58" w:rsidP="00790B30">
      <w:pPr>
        <w:pStyle w:val="ListParagraph"/>
        <w:numPr>
          <w:ilvl w:val="0"/>
          <w:numId w:val="17"/>
        </w:numPr>
        <w:jc w:val="both"/>
      </w:pPr>
      <w:r>
        <w:t>D</w:t>
      </w:r>
      <w:r w:rsidR="00954F5B">
        <w:t xml:space="preserve">evelop the BPC concept note and workplan that is tailored for the context of the 4 targeted locations. </w:t>
      </w:r>
      <w:r w:rsidR="00F20F73">
        <w:t xml:space="preserve">This includes detailing the content that will be utilised to facilitate the </w:t>
      </w:r>
      <w:proofErr w:type="gramStart"/>
      <w:r w:rsidR="00F20F73">
        <w:t>BPC</w:t>
      </w:r>
      <w:r>
        <w:t>;</w:t>
      </w:r>
      <w:proofErr w:type="gramEnd"/>
    </w:p>
    <w:p w14:paraId="12A8C042" w14:textId="3266E856" w:rsidR="002E1E17" w:rsidRDefault="006F1E58" w:rsidP="00790B30">
      <w:pPr>
        <w:pStyle w:val="ListParagraph"/>
        <w:numPr>
          <w:ilvl w:val="0"/>
          <w:numId w:val="17"/>
        </w:numPr>
        <w:jc w:val="both"/>
      </w:pPr>
      <w:r>
        <w:t>D</w:t>
      </w:r>
      <w:r w:rsidR="00187676">
        <w:t>evelop the selection and judgment cri</w:t>
      </w:r>
      <w:r w:rsidR="00344EFC">
        <w:t>teria</w:t>
      </w:r>
      <w:r w:rsidR="006401ED">
        <w:t xml:space="preserve"> jointly with the project team</w:t>
      </w:r>
      <w:r w:rsidR="00187676">
        <w:t>. This to prioritise businesses that align with market opportunities that are in line with the findings of ILO baseline survey and market assessments</w:t>
      </w:r>
      <w:r>
        <w:t>; and</w:t>
      </w:r>
    </w:p>
    <w:p w14:paraId="6EE45CD8" w14:textId="23278F08" w:rsidR="002E1E17" w:rsidRDefault="001F2997" w:rsidP="002E1E17">
      <w:pPr>
        <w:pStyle w:val="ListParagraph"/>
        <w:numPr>
          <w:ilvl w:val="0"/>
          <w:numId w:val="17"/>
        </w:numPr>
        <w:jc w:val="both"/>
      </w:pPr>
      <w:r>
        <w:t>Establish the application process and shortlist</w:t>
      </w:r>
      <w:r w:rsidR="00830FDF">
        <w:t>/select</w:t>
      </w:r>
      <w:r>
        <w:t xml:space="preserve"> the </w:t>
      </w:r>
      <w:r w:rsidR="002E1E17">
        <w:t>500 entrepreneurs</w:t>
      </w:r>
      <w:r>
        <w:t xml:space="preserve"> that will engage in the BPC</w:t>
      </w:r>
      <w:r w:rsidR="002E1E17">
        <w:t xml:space="preserve"> </w:t>
      </w:r>
      <w:r w:rsidR="006F1E58">
        <w:t xml:space="preserve">across the 4 </w:t>
      </w:r>
      <w:r w:rsidR="00277F30">
        <w:t>locations</w:t>
      </w:r>
      <w:r w:rsidR="006F1E58">
        <w:t xml:space="preserve"> (125 per </w:t>
      </w:r>
      <w:r w:rsidR="00277F30">
        <w:t>location</w:t>
      </w:r>
      <w:r w:rsidR="00BE0A8D">
        <w:t>--50% refugees and 50% host community</w:t>
      </w:r>
      <w:r w:rsidR="0018150E">
        <w:t>; 50% female and 50% male</w:t>
      </w:r>
      <w:r w:rsidR="00BE0A8D">
        <w:t xml:space="preserve"> and 20% social entrepreneurs</w:t>
      </w:r>
      <w:r w:rsidR="006F1E58">
        <w:t>).</w:t>
      </w:r>
    </w:p>
    <w:p w14:paraId="60980274" w14:textId="26E513DC" w:rsidR="00734AC9" w:rsidRPr="00DD46A1" w:rsidRDefault="00BC0CFD" w:rsidP="00734AC9">
      <w:pPr>
        <w:pStyle w:val="Subtitle"/>
        <w:jc w:val="both"/>
        <w:rPr>
          <w:color w:val="2E74B5" w:themeColor="accent1" w:themeShade="BF"/>
        </w:rPr>
      </w:pPr>
      <w:r w:rsidRPr="00DD46A1">
        <w:rPr>
          <w:color w:val="2E74B5" w:themeColor="accent1" w:themeShade="BF"/>
        </w:rPr>
        <w:t xml:space="preserve">PART B: </w:t>
      </w:r>
      <w:r w:rsidR="009B5C03">
        <w:rPr>
          <w:color w:val="2E74B5" w:themeColor="accent1" w:themeShade="BF"/>
        </w:rPr>
        <w:t>Business Plan Competition and in-</w:t>
      </w:r>
      <w:r w:rsidR="00452BBB">
        <w:rPr>
          <w:color w:val="2E74B5" w:themeColor="accent1" w:themeShade="BF"/>
        </w:rPr>
        <w:t>k</w:t>
      </w:r>
      <w:r w:rsidR="009B5C03">
        <w:rPr>
          <w:color w:val="2E74B5" w:themeColor="accent1" w:themeShade="BF"/>
        </w:rPr>
        <w:t>ind grant procurement and distribution</w:t>
      </w:r>
      <w:r w:rsidR="00734AC9">
        <w:rPr>
          <w:color w:val="2E74B5" w:themeColor="accent1" w:themeShade="BF"/>
        </w:rPr>
        <w:t xml:space="preserve"> (</w:t>
      </w:r>
      <w:r w:rsidR="00AA2E5D">
        <w:rPr>
          <w:color w:val="2E74B5" w:themeColor="accent1" w:themeShade="BF"/>
        </w:rPr>
        <w:t>01</w:t>
      </w:r>
      <w:r w:rsidR="006E155C">
        <w:rPr>
          <w:color w:val="2E74B5" w:themeColor="accent1" w:themeShade="BF"/>
        </w:rPr>
        <w:t xml:space="preserve"> </w:t>
      </w:r>
      <w:r w:rsidR="00AA2E5D">
        <w:rPr>
          <w:color w:val="2E74B5" w:themeColor="accent1" w:themeShade="BF"/>
        </w:rPr>
        <w:t>Oct</w:t>
      </w:r>
      <w:r w:rsidR="006E155C">
        <w:rPr>
          <w:color w:val="2E74B5" w:themeColor="accent1" w:themeShade="BF"/>
        </w:rPr>
        <w:t xml:space="preserve">- 30 Sep </w:t>
      </w:r>
      <w:r w:rsidR="00734AC9">
        <w:rPr>
          <w:color w:val="2E74B5" w:themeColor="accent1" w:themeShade="BF"/>
        </w:rPr>
        <w:t>202</w:t>
      </w:r>
      <w:r w:rsidR="00AA2E5D">
        <w:rPr>
          <w:color w:val="2E74B5" w:themeColor="accent1" w:themeShade="BF"/>
        </w:rPr>
        <w:t>3</w:t>
      </w:r>
      <w:r w:rsidR="00734AC9">
        <w:rPr>
          <w:color w:val="2E74B5" w:themeColor="accent1" w:themeShade="BF"/>
        </w:rPr>
        <w:t>)</w:t>
      </w:r>
    </w:p>
    <w:p w14:paraId="7A755588" w14:textId="679A5C45" w:rsidR="00694499" w:rsidRDefault="00694499" w:rsidP="00694499">
      <w:pPr>
        <w:jc w:val="both"/>
      </w:pPr>
      <w:r w:rsidRPr="00CC0C2C">
        <w:t>In consultation with ILO’s project team,</w:t>
      </w:r>
      <w:r>
        <w:t xml:space="preserve"> </w:t>
      </w:r>
      <w:r w:rsidR="00622E2F">
        <w:t xml:space="preserve">the </w:t>
      </w:r>
      <w:r>
        <w:t xml:space="preserve">implementing </w:t>
      </w:r>
      <w:proofErr w:type="gramStart"/>
      <w:r>
        <w:t>partner</w:t>
      </w:r>
      <w:proofErr w:type="gramEnd"/>
      <w:r>
        <w:t xml:space="preserve"> and the Local Economic Development Committees:</w:t>
      </w:r>
    </w:p>
    <w:p w14:paraId="57C8BBEF" w14:textId="08F24756" w:rsidR="00FE42E0" w:rsidRDefault="00FE42E0" w:rsidP="00694499">
      <w:pPr>
        <w:pStyle w:val="ListParagraph"/>
        <w:numPr>
          <w:ilvl w:val="0"/>
          <w:numId w:val="18"/>
        </w:numPr>
        <w:jc w:val="both"/>
      </w:pPr>
      <w:r>
        <w:t xml:space="preserve">Form a panel of judges comprising of members from the LEDC and FSP together with ILO to participate in the selection of the best </w:t>
      </w:r>
      <w:proofErr w:type="gramStart"/>
      <w:r>
        <w:t>entrepreneurs;</w:t>
      </w:r>
      <w:proofErr w:type="gramEnd"/>
    </w:p>
    <w:p w14:paraId="7A34199D" w14:textId="29ADB681" w:rsidR="00694499" w:rsidRDefault="00622E2F" w:rsidP="00FE42E0">
      <w:pPr>
        <w:pStyle w:val="ListParagraph"/>
        <w:numPr>
          <w:ilvl w:val="0"/>
          <w:numId w:val="18"/>
        </w:numPr>
        <w:jc w:val="both"/>
      </w:pPr>
      <w:r>
        <w:t>R</w:t>
      </w:r>
      <w:r w:rsidR="00694499">
        <w:t xml:space="preserve">oll out the BPC in the 4 targeted </w:t>
      </w:r>
      <w:r>
        <w:t>locations</w:t>
      </w:r>
      <w:r w:rsidR="00694499">
        <w:t>. This include</w:t>
      </w:r>
      <w:r>
        <w:t>s</w:t>
      </w:r>
      <w:r w:rsidR="00694499">
        <w:t xml:space="preserve"> </w:t>
      </w:r>
      <w:r w:rsidR="00FE42E0" w:rsidRPr="00FE42E0">
        <w:t>select</w:t>
      </w:r>
      <w:r w:rsidR="00FE42E0">
        <w:t xml:space="preserve">ing </w:t>
      </w:r>
      <w:r w:rsidR="00FE42E0" w:rsidRPr="00FE42E0">
        <w:t xml:space="preserve">entrepreneurs with a viable business idea </w:t>
      </w:r>
      <w:r w:rsidR="00FE42E0">
        <w:t xml:space="preserve">to undergo </w:t>
      </w:r>
      <w:r w:rsidR="006B5245">
        <w:t>follow up</w:t>
      </w:r>
      <w:r w:rsidR="00FE42E0" w:rsidRPr="00FE42E0">
        <w:t xml:space="preserve"> sessions </w:t>
      </w:r>
      <w:r w:rsidR="00FE42E0">
        <w:t xml:space="preserve">(in partnership with ILO other Implementing Partner) </w:t>
      </w:r>
      <w:r w:rsidR="00FE42E0" w:rsidRPr="00FE42E0">
        <w:t>to review critical points of their business plan and to make it more attractive</w:t>
      </w:r>
      <w:r w:rsidR="00FE42E0">
        <w:t xml:space="preserve">. It is also expected from the implementing partner selected under this </w:t>
      </w:r>
      <w:proofErr w:type="spellStart"/>
      <w:r w:rsidR="00FE42E0">
        <w:t>ToR</w:t>
      </w:r>
      <w:proofErr w:type="spellEnd"/>
      <w:r w:rsidR="00FE42E0">
        <w:t xml:space="preserve"> to </w:t>
      </w:r>
      <w:r>
        <w:t>prepar</w:t>
      </w:r>
      <w:r w:rsidR="00FE42E0">
        <w:t xml:space="preserve">e </w:t>
      </w:r>
      <w:r>
        <w:t>all</w:t>
      </w:r>
      <w:r w:rsidR="00FE42E0">
        <w:t xml:space="preserve"> the</w:t>
      </w:r>
      <w:r>
        <w:t xml:space="preserve"> </w:t>
      </w:r>
      <w:r w:rsidR="00694499">
        <w:t xml:space="preserve">logistical support for a </w:t>
      </w:r>
      <w:r>
        <w:t>comfortable</w:t>
      </w:r>
      <w:r w:rsidR="00694499">
        <w:t xml:space="preserve"> learning environment and </w:t>
      </w:r>
      <w:r>
        <w:t xml:space="preserve">distributing </w:t>
      </w:r>
      <w:r w:rsidR="00694499">
        <w:t xml:space="preserve">relevant transport </w:t>
      </w:r>
      <w:proofErr w:type="gramStart"/>
      <w:r w:rsidR="0052348B">
        <w:t>allowances</w:t>
      </w:r>
      <w:r w:rsidR="00277F30">
        <w:t>;</w:t>
      </w:r>
      <w:proofErr w:type="gramEnd"/>
    </w:p>
    <w:p w14:paraId="1898A4B4" w14:textId="30EBF4C0" w:rsidR="00B610B7" w:rsidRDefault="0052348B" w:rsidP="00790B30">
      <w:pPr>
        <w:pStyle w:val="ListParagraph"/>
        <w:numPr>
          <w:ilvl w:val="0"/>
          <w:numId w:val="18"/>
        </w:numPr>
        <w:jc w:val="both"/>
      </w:pPr>
      <w:r>
        <w:t>Select the 250 best entrepreneur</w:t>
      </w:r>
      <w:r w:rsidR="006401ED">
        <w:t>s</w:t>
      </w:r>
      <w:r>
        <w:t xml:space="preserve"> (62-63 entrepreneur per targeted location) after undertaking the needed due diligence assessment</w:t>
      </w:r>
      <w:r w:rsidR="00B610B7">
        <w:t>s</w:t>
      </w:r>
      <w:r>
        <w:t xml:space="preserve"> to ensure their business ideas are viable and have growth potential </w:t>
      </w:r>
      <w:r w:rsidR="00B610B7">
        <w:t>in the local markets (ideally add value in the groundnuts and hibiscus value chains), and</w:t>
      </w:r>
    </w:p>
    <w:p w14:paraId="7AF0F975" w14:textId="430956AD" w:rsidR="00D67D7C" w:rsidRDefault="00B610B7" w:rsidP="00790B30">
      <w:pPr>
        <w:pStyle w:val="ListParagraph"/>
        <w:numPr>
          <w:ilvl w:val="0"/>
          <w:numId w:val="18"/>
        </w:numPr>
        <w:jc w:val="both"/>
      </w:pPr>
      <w:r>
        <w:lastRenderedPageBreak/>
        <w:t>Procure and distribute the in-kind grants to the 250 winners (in groups or individually) to serve as start-up kits for them to start and grow</w:t>
      </w:r>
      <w:r w:rsidR="00437A29">
        <w:t xml:space="preserve"> their businesses.</w:t>
      </w:r>
      <w:r w:rsidR="0018150E">
        <w:t xml:space="preserve"> A visibility event in each </w:t>
      </w:r>
      <w:r w:rsidR="00FE42E0">
        <w:t>location</w:t>
      </w:r>
      <w:r w:rsidR="0018150E">
        <w:t xml:space="preserve"> for </w:t>
      </w:r>
      <w:r w:rsidR="00FE42E0">
        <w:t xml:space="preserve">the </w:t>
      </w:r>
      <w:r w:rsidR="0018150E">
        <w:t xml:space="preserve">in-kind </w:t>
      </w:r>
      <w:proofErr w:type="gramStart"/>
      <w:r w:rsidR="0018150E">
        <w:t>grant  distribution</w:t>
      </w:r>
      <w:proofErr w:type="gramEnd"/>
      <w:r w:rsidR="0018150E">
        <w:t xml:space="preserve"> is expected. </w:t>
      </w:r>
    </w:p>
    <w:p w14:paraId="55EC0B3D" w14:textId="78079C15" w:rsidR="00764FE8" w:rsidRDefault="00764FE8" w:rsidP="00DD46A1">
      <w:pPr>
        <w:pStyle w:val="ListParagraph"/>
        <w:jc w:val="both"/>
      </w:pPr>
    </w:p>
    <w:p w14:paraId="31F28E58" w14:textId="628BCC95" w:rsidR="00734AC9" w:rsidRDefault="00BC0CFD" w:rsidP="00734AC9">
      <w:pPr>
        <w:pStyle w:val="Subtitle"/>
        <w:jc w:val="both"/>
        <w:rPr>
          <w:color w:val="2E74B5" w:themeColor="accent1" w:themeShade="BF"/>
        </w:rPr>
      </w:pPr>
      <w:r w:rsidRPr="00DD46A1">
        <w:rPr>
          <w:color w:val="5B9BD5" w:themeColor="accent1"/>
        </w:rPr>
        <w:t xml:space="preserve">Part C: </w:t>
      </w:r>
      <w:r w:rsidR="00362656">
        <w:rPr>
          <w:color w:val="5B9BD5" w:themeColor="accent1"/>
        </w:rPr>
        <w:t>Follow up and documentation of success story</w:t>
      </w:r>
      <w:r w:rsidRPr="00DD46A1">
        <w:rPr>
          <w:color w:val="5B9BD5" w:themeColor="accent1"/>
        </w:rPr>
        <w:t xml:space="preserve"> </w:t>
      </w:r>
      <w:r w:rsidR="00734AC9">
        <w:rPr>
          <w:color w:val="2E74B5" w:themeColor="accent1" w:themeShade="BF"/>
        </w:rPr>
        <w:t>(</w:t>
      </w:r>
      <w:r w:rsidR="006E155C">
        <w:rPr>
          <w:color w:val="2E74B5" w:themeColor="accent1" w:themeShade="BF"/>
        </w:rPr>
        <w:t>1 Oct</w:t>
      </w:r>
      <w:r w:rsidR="00043FD0">
        <w:rPr>
          <w:color w:val="2E74B5" w:themeColor="accent1" w:themeShade="BF"/>
        </w:rPr>
        <w:t xml:space="preserve"> to 30 </w:t>
      </w:r>
      <w:r w:rsidR="00724BBD">
        <w:rPr>
          <w:color w:val="2E74B5" w:themeColor="accent1" w:themeShade="BF"/>
        </w:rPr>
        <w:t>Dec</w:t>
      </w:r>
      <w:r w:rsidR="006E155C">
        <w:rPr>
          <w:color w:val="2E74B5" w:themeColor="accent1" w:themeShade="BF"/>
        </w:rPr>
        <w:t xml:space="preserve"> </w:t>
      </w:r>
      <w:r w:rsidR="00380026">
        <w:rPr>
          <w:color w:val="2E74B5" w:themeColor="accent1" w:themeShade="BF"/>
        </w:rPr>
        <w:t>2023</w:t>
      </w:r>
      <w:r w:rsidR="00734AC9">
        <w:rPr>
          <w:color w:val="2E74B5" w:themeColor="accent1" w:themeShade="BF"/>
        </w:rPr>
        <w:t>)</w:t>
      </w:r>
    </w:p>
    <w:p w14:paraId="7A6DAAF6" w14:textId="37FB55CC" w:rsidR="00724BBD" w:rsidRDefault="00362656" w:rsidP="00724BBD">
      <w:pPr>
        <w:pStyle w:val="ListParagraph"/>
        <w:numPr>
          <w:ilvl w:val="0"/>
          <w:numId w:val="19"/>
        </w:numPr>
        <w:ind w:hanging="720"/>
      </w:pPr>
      <w:r>
        <w:t xml:space="preserve">The implementing partner will continue to follow up with </w:t>
      </w:r>
      <w:r w:rsidRPr="007D3F11">
        <w:rPr>
          <w:b/>
          <w:bCs/>
          <w:u w:val="single"/>
        </w:rPr>
        <w:t>all</w:t>
      </w:r>
      <w:r>
        <w:t xml:space="preserve"> 250 selected entrepreneurs to ensure they are receiving the </w:t>
      </w:r>
      <w:r w:rsidR="006B5245">
        <w:t>follow up support</w:t>
      </w:r>
      <w:r>
        <w:t xml:space="preserve"> under other PROSPECTS interventions</w:t>
      </w:r>
      <w:r w:rsidR="007D3F11">
        <w:t xml:space="preserve"> (</w:t>
      </w:r>
      <w:r w:rsidR="00BD1543">
        <w:t>2</w:t>
      </w:r>
      <w:r w:rsidR="007D3F11">
        <w:t xml:space="preserve"> monitoring visit per entrepreneur across 6 months</w:t>
      </w:r>
      <w:proofErr w:type="gramStart"/>
      <w:r w:rsidR="007D3F11">
        <w:t>)</w:t>
      </w:r>
      <w:r w:rsidR="00724BBD">
        <w:t>;</w:t>
      </w:r>
      <w:proofErr w:type="gramEnd"/>
    </w:p>
    <w:p w14:paraId="6FED13F1" w14:textId="2FAF9F30" w:rsidR="00362656" w:rsidRDefault="00362656" w:rsidP="00724BBD">
      <w:pPr>
        <w:pStyle w:val="ListParagraph"/>
        <w:numPr>
          <w:ilvl w:val="0"/>
          <w:numId w:val="19"/>
        </w:numPr>
        <w:ind w:hanging="720"/>
      </w:pPr>
      <w:r>
        <w:t xml:space="preserve">Monitor the usage of in-kind grants and ensure they are utilised to start the business; and </w:t>
      </w:r>
    </w:p>
    <w:p w14:paraId="7F7AC342" w14:textId="0A3C8AE1" w:rsidR="00362656" w:rsidRDefault="00335CF7" w:rsidP="00724BBD">
      <w:pPr>
        <w:pStyle w:val="ListParagraph"/>
        <w:numPr>
          <w:ilvl w:val="0"/>
          <w:numId w:val="19"/>
        </w:numPr>
        <w:ind w:hanging="720"/>
      </w:pPr>
      <w:r>
        <w:t>In consu</w:t>
      </w:r>
      <w:r w:rsidR="00F26C9F">
        <w:t>l</w:t>
      </w:r>
      <w:r>
        <w:t>tations with ILO’s Communication Officer, d</w:t>
      </w:r>
      <w:r w:rsidR="00362656">
        <w:t xml:space="preserve">ocument the best success stories </w:t>
      </w:r>
      <w:r w:rsidR="007D3F11">
        <w:t xml:space="preserve">(after 6 months of receiving the grant) </w:t>
      </w:r>
      <w:r w:rsidR="00362656">
        <w:t>by conducting in depth interviews on their business progress and the envisaged growth avenues.</w:t>
      </w:r>
      <w:r w:rsidR="006B5245">
        <w:t xml:space="preserve"> Output expected in 6 videos and innovative visibility materials.</w:t>
      </w:r>
    </w:p>
    <w:p w14:paraId="44727A63" w14:textId="77777777" w:rsidR="00F26F46" w:rsidRDefault="00F26F46" w:rsidP="00F26F46">
      <w:pPr>
        <w:pStyle w:val="Heading2"/>
        <w:jc w:val="both"/>
      </w:pPr>
      <w:r>
        <w:t>REPORTING LINES</w:t>
      </w:r>
    </w:p>
    <w:p w14:paraId="76CE10C9" w14:textId="2C0FC40D" w:rsidR="00F26F46" w:rsidRDefault="00F26F46" w:rsidP="001D3766">
      <w:pPr>
        <w:jc w:val="both"/>
      </w:pPr>
      <w:r w:rsidRPr="00A6268B">
        <w:t>The selected implementing partner will work under the direct supervision of the PROSPECTS team in Sudan</w:t>
      </w:r>
      <w:r w:rsidR="00A6268B" w:rsidRPr="00A6268B">
        <w:t xml:space="preserve"> and </w:t>
      </w:r>
      <w:r w:rsidR="00BD1543">
        <w:t xml:space="preserve">ILO </w:t>
      </w:r>
      <w:r w:rsidR="003B11B1">
        <w:t>regional and HQ-based</w:t>
      </w:r>
      <w:r w:rsidR="00BD1543">
        <w:t xml:space="preserve"> Specialists</w:t>
      </w:r>
      <w:r w:rsidRPr="00A6268B">
        <w:t>. This includes regular planning and progress meetings, joint discussions and agreement on best approaches and regular progress report</w:t>
      </w:r>
      <w:r w:rsidR="006727FF" w:rsidRPr="00A6268B">
        <w:t>ing</w:t>
      </w:r>
      <w:r w:rsidRPr="00A6268B">
        <w:t>.</w:t>
      </w:r>
      <w:r>
        <w:t xml:space="preserve"> </w:t>
      </w:r>
    </w:p>
    <w:p w14:paraId="3A9DC7E6" w14:textId="77777777" w:rsidR="00BC0CFD" w:rsidRDefault="005B4F86" w:rsidP="005B4F86">
      <w:pPr>
        <w:pStyle w:val="Heading2"/>
        <w:jc w:val="both"/>
      </w:pPr>
      <w:r>
        <w:t>SU</w:t>
      </w:r>
      <w:r w:rsidR="00BC0CFD">
        <w:t>B</w:t>
      </w:r>
      <w:r>
        <w:t>M</w:t>
      </w:r>
      <w:r w:rsidR="00BC0CFD">
        <w:t>ISSION</w:t>
      </w:r>
    </w:p>
    <w:p w14:paraId="182AABD9" w14:textId="38F8930C" w:rsidR="00183ACB" w:rsidRPr="00A6268B" w:rsidRDefault="00BC0CFD" w:rsidP="001D3766">
      <w:pPr>
        <w:jc w:val="both"/>
      </w:pPr>
      <w:r w:rsidRPr="00A6268B">
        <w:t xml:space="preserve">The interested </w:t>
      </w:r>
      <w:r w:rsidR="00BD1543">
        <w:t xml:space="preserve">national implementing partner </w:t>
      </w:r>
      <w:r w:rsidRPr="00A6268B">
        <w:t>should submit a technical</w:t>
      </w:r>
      <w:r w:rsidR="003B44CE" w:rsidRPr="00A6268B">
        <w:t xml:space="preserve">, </w:t>
      </w:r>
      <w:r w:rsidRPr="00A6268B">
        <w:t xml:space="preserve">financial proposal </w:t>
      </w:r>
      <w:r w:rsidR="003B44CE" w:rsidRPr="00A6268B">
        <w:t xml:space="preserve">and evidence of proven technical expertise and institutional and financial capacity </w:t>
      </w:r>
      <w:r w:rsidRPr="00A6268B">
        <w:t xml:space="preserve">no later </w:t>
      </w:r>
      <w:proofErr w:type="gramStart"/>
      <w:r w:rsidRPr="00A6268B">
        <w:t xml:space="preserve">than </w:t>
      </w:r>
      <w:r w:rsidR="006E155C" w:rsidRPr="00A6268B">
        <w:rPr>
          <w:b/>
          <w:bCs/>
        </w:rPr>
        <w:t xml:space="preserve"> </w:t>
      </w:r>
      <w:r w:rsidR="0023306E">
        <w:rPr>
          <w:b/>
          <w:bCs/>
        </w:rPr>
        <w:t>01</w:t>
      </w:r>
      <w:proofErr w:type="gramEnd"/>
      <w:r w:rsidR="00DF72C2">
        <w:rPr>
          <w:b/>
          <w:bCs/>
        </w:rPr>
        <w:t xml:space="preserve"> August </w:t>
      </w:r>
      <w:r w:rsidRPr="00A6268B">
        <w:rPr>
          <w:b/>
          <w:bCs/>
        </w:rPr>
        <w:t>202</w:t>
      </w:r>
      <w:r w:rsidR="00734AC9" w:rsidRPr="00A6268B">
        <w:rPr>
          <w:b/>
          <w:bCs/>
        </w:rPr>
        <w:t>2</w:t>
      </w:r>
      <w:r w:rsidRPr="00A6268B">
        <w:rPr>
          <w:b/>
          <w:bCs/>
        </w:rPr>
        <w:t>, 4pm [CAT]</w:t>
      </w:r>
      <w:r w:rsidRPr="00A6268B">
        <w:t xml:space="preserve">. </w:t>
      </w:r>
    </w:p>
    <w:p w14:paraId="2BA1C800" w14:textId="454FF348" w:rsidR="00105377" w:rsidRPr="00CE2003" w:rsidRDefault="00EC57BD" w:rsidP="00CF54EB">
      <w:pPr>
        <w:pStyle w:val="ListParagraph"/>
        <w:numPr>
          <w:ilvl w:val="0"/>
          <w:numId w:val="11"/>
        </w:numPr>
        <w:ind w:left="360"/>
        <w:jc w:val="both"/>
        <w:rPr>
          <w:u w:val="single"/>
        </w:rPr>
      </w:pPr>
      <w:r w:rsidRPr="00CE2003">
        <w:t xml:space="preserve">The financial proposal is to include </w:t>
      </w:r>
      <w:r w:rsidR="00B66531" w:rsidRPr="00CE2003">
        <w:t>the following breakdown</w:t>
      </w:r>
      <w:r w:rsidR="00B66531" w:rsidRPr="00CE2003">
        <w:rPr>
          <w:b/>
          <w:bCs/>
        </w:rPr>
        <w:t>:</w:t>
      </w:r>
      <w:r w:rsidR="00D54243" w:rsidRPr="00CE2003">
        <w:rPr>
          <w:b/>
          <w:bCs/>
        </w:rPr>
        <w:t xml:space="preserve"> </w:t>
      </w:r>
      <w:r w:rsidR="0033767F" w:rsidRPr="00CE2003">
        <w:rPr>
          <w:b/>
          <w:bCs/>
        </w:rPr>
        <w:t xml:space="preserve">the sub total budget </w:t>
      </w:r>
      <w:r w:rsidR="0030195F" w:rsidRPr="00CE2003">
        <w:rPr>
          <w:b/>
          <w:bCs/>
        </w:rPr>
        <w:t xml:space="preserve">of delivering Part A, B and C </w:t>
      </w:r>
      <w:r w:rsidR="00105377" w:rsidRPr="00CE2003">
        <w:rPr>
          <w:b/>
          <w:bCs/>
        </w:rPr>
        <w:t>separately and</w:t>
      </w:r>
      <w:r w:rsidR="00105377" w:rsidRPr="00CE2003">
        <w:t xml:space="preserve"> breakdown by unit.</w:t>
      </w:r>
      <w:r w:rsidR="00734AC9" w:rsidRPr="00CE2003">
        <w:t xml:space="preserve"> </w:t>
      </w:r>
      <w:r w:rsidR="00105377" w:rsidRPr="00CE2003">
        <w:t xml:space="preserve">The financial offer </w:t>
      </w:r>
      <w:r w:rsidR="00B66531" w:rsidRPr="00CE2003">
        <w:t xml:space="preserve">should be submitted </w:t>
      </w:r>
      <w:r w:rsidR="00CF54EB" w:rsidRPr="00CE2003">
        <w:t xml:space="preserve">in </w:t>
      </w:r>
      <w:r w:rsidR="00CF54EB" w:rsidRPr="00CE2003">
        <w:rPr>
          <w:b/>
          <w:bCs/>
        </w:rPr>
        <w:t>USD</w:t>
      </w:r>
      <w:r w:rsidR="00105377" w:rsidRPr="00CE2003">
        <w:t>.</w:t>
      </w:r>
      <w:r w:rsidR="00734AC9" w:rsidRPr="00CE2003">
        <w:t xml:space="preserve"> </w:t>
      </w:r>
      <w:r w:rsidR="00B66531" w:rsidRPr="00CE2003">
        <w:rPr>
          <w:u w:val="single"/>
        </w:rPr>
        <w:t>It</w:t>
      </w:r>
      <w:r w:rsidR="00734AC9" w:rsidRPr="00CE2003">
        <w:rPr>
          <w:u w:val="single"/>
        </w:rPr>
        <w:t xml:space="preserve"> should include all envisaged </w:t>
      </w:r>
      <w:r w:rsidR="00CE2003" w:rsidRPr="00CE2003">
        <w:rPr>
          <w:u w:val="single"/>
        </w:rPr>
        <w:t xml:space="preserve">costs including </w:t>
      </w:r>
      <w:r w:rsidR="00362656">
        <w:rPr>
          <w:u w:val="single"/>
        </w:rPr>
        <w:t>logistical support, grant management and participants transport allowances.</w:t>
      </w:r>
    </w:p>
    <w:p w14:paraId="41E7CE69" w14:textId="1930567D" w:rsidR="00BC0CFD" w:rsidRDefault="00BC0CFD" w:rsidP="00CE2003">
      <w:pPr>
        <w:pStyle w:val="ListParagraph"/>
        <w:numPr>
          <w:ilvl w:val="0"/>
          <w:numId w:val="11"/>
        </w:numPr>
        <w:ind w:left="360"/>
        <w:jc w:val="both"/>
      </w:pPr>
      <w:r w:rsidRPr="00CE2003">
        <w:t>The technical proposal should lay out, in detail, the comparative advantage of the organization in implementing the aforementioned deliverable and include at a minimum:</w:t>
      </w:r>
      <w:r w:rsidR="00CE2003">
        <w:t xml:space="preserve"> </w:t>
      </w:r>
      <w:r w:rsidR="00AD5A7E">
        <w:t xml:space="preserve">outputs, activities, </w:t>
      </w:r>
      <w:r w:rsidR="00CE2003">
        <w:t>a</w:t>
      </w:r>
      <w:r w:rsidRPr="00CE2003">
        <w:t xml:space="preserve"> detailed work plan for the implementation </w:t>
      </w:r>
      <w:r w:rsidR="001D3766" w:rsidRPr="00CE2003">
        <w:t xml:space="preserve">cycle </w:t>
      </w:r>
      <w:r w:rsidRPr="00CE2003">
        <w:t xml:space="preserve">taking into account </w:t>
      </w:r>
      <w:r w:rsidR="00CE2003" w:rsidRPr="00CE2003">
        <w:t xml:space="preserve">the time needed to </w:t>
      </w:r>
      <w:r w:rsidR="00CA2BDE">
        <w:t xml:space="preserve">procure from local </w:t>
      </w:r>
      <w:proofErr w:type="gramStart"/>
      <w:r w:rsidR="00CA2BDE">
        <w:t>markets</w:t>
      </w:r>
      <w:r w:rsidR="001D3766" w:rsidRPr="00CE2003">
        <w:t>;</w:t>
      </w:r>
      <w:proofErr w:type="gramEnd"/>
    </w:p>
    <w:p w14:paraId="69912464" w14:textId="5FD4E27E" w:rsidR="00E73A87" w:rsidRPr="00CE2003" w:rsidRDefault="00E73A87" w:rsidP="00CE2003">
      <w:pPr>
        <w:pStyle w:val="ListParagraph"/>
        <w:numPr>
          <w:ilvl w:val="0"/>
          <w:numId w:val="11"/>
        </w:numPr>
        <w:ind w:left="360"/>
        <w:jc w:val="both"/>
      </w:pPr>
      <w:r>
        <w:t xml:space="preserve">Sample of </w:t>
      </w:r>
      <w:r w:rsidR="00CA2BDE">
        <w:t>Business Competition report that the implementing partner has undertaken;</w:t>
      </w:r>
      <w:r w:rsidR="003F4BF0">
        <w:t xml:space="preserve"> and</w:t>
      </w:r>
    </w:p>
    <w:p w14:paraId="69B9A9AD" w14:textId="652ECFF3" w:rsidR="00105377" w:rsidRPr="00CE2003" w:rsidRDefault="00105377" w:rsidP="001D3766">
      <w:pPr>
        <w:pStyle w:val="ListParagraph"/>
        <w:numPr>
          <w:ilvl w:val="0"/>
          <w:numId w:val="11"/>
        </w:numPr>
        <w:ind w:left="360"/>
        <w:jc w:val="both"/>
      </w:pPr>
      <w:r w:rsidRPr="00CE2003">
        <w:t xml:space="preserve">The organisation should </w:t>
      </w:r>
      <w:r w:rsidR="003B44CE" w:rsidRPr="00CE2003">
        <w:t xml:space="preserve">also </w:t>
      </w:r>
      <w:r w:rsidRPr="00CE2003">
        <w:t>submit</w:t>
      </w:r>
      <w:r w:rsidR="003B44CE" w:rsidRPr="00CE2003">
        <w:t>;</w:t>
      </w:r>
      <w:r w:rsidRPr="00CE2003">
        <w:t xml:space="preserve"> </w:t>
      </w:r>
      <w:r w:rsidR="00BD1543" w:rsidRPr="00BD1543">
        <w:t>e</w:t>
      </w:r>
      <w:r w:rsidRPr="00CE2003">
        <w:t>vidence of proven expertise (including</w:t>
      </w:r>
      <w:r w:rsidR="003B44CE" w:rsidRPr="00CE2003">
        <w:t>:</w:t>
      </w:r>
      <w:r w:rsidRPr="00CE2003">
        <w:t xml:space="preserve"> </w:t>
      </w:r>
      <w:r w:rsidR="003B44CE" w:rsidRPr="00CE2003">
        <w:t xml:space="preserve">a </w:t>
      </w:r>
      <w:r w:rsidRPr="00CE2003">
        <w:t xml:space="preserve">list of </w:t>
      </w:r>
      <w:r w:rsidR="006727FF" w:rsidRPr="00CE2003">
        <w:t xml:space="preserve">similar type </w:t>
      </w:r>
      <w:r w:rsidR="00CE2003" w:rsidRPr="00CE2003">
        <w:t>content service the company owns</w:t>
      </w:r>
      <w:r w:rsidRPr="00CE2003">
        <w:t xml:space="preserve"> and Institutional and financial capacity to </w:t>
      </w:r>
      <w:r w:rsidR="001D3766" w:rsidRPr="00CE2003">
        <w:t xml:space="preserve">independently </w:t>
      </w:r>
      <w:r w:rsidRPr="00CE2003">
        <w:t xml:space="preserve">carry out the </w:t>
      </w:r>
      <w:r w:rsidR="00CE2003" w:rsidRPr="00CE2003">
        <w:t xml:space="preserve">service to ensure it is sustainable </w:t>
      </w:r>
      <w:r w:rsidRPr="00CE2003">
        <w:t>and manage funds (</w:t>
      </w:r>
      <w:r w:rsidR="001D3766" w:rsidRPr="00CE2003">
        <w:t>for instance,</w:t>
      </w:r>
      <w:r w:rsidRPr="00CE2003">
        <w:t xml:space="preserve"> the organogram, </w:t>
      </w:r>
      <w:r w:rsidR="00CE2003" w:rsidRPr="00CE2003">
        <w:t>registration</w:t>
      </w:r>
      <w:r w:rsidR="00CE2003">
        <w:t xml:space="preserve"> </w:t>
      </w:r>
      <w:proofErr w:type="gramStart"/>
      <w:r w:rsidR="00CE2003">
        <w:t xml:space="preserve">documents </w:t>
      </w:r>
      <w:r w:rsidR="00CE2003" w:rsidRPr="00CE2003">
        <w:t xml:space="preserve"> </w:t>
      </w:r>
      <w:r w:rsidRPr="00CE2003">
        <w:t>and</w:t>
      </w:r>
      <w:proofErr w:type="gramEnd"/>
      <w:r w:rsidRPr="00CE2003">
        <w:t xml:space="preserve"> a recent financial audit report).</w:t>
      </w:r>
    </w:p>
    <w:p w14:paraId="248CBAF0" w14:textId="311F385B" w:rsidR="00D14BFC" w:rsidRPr="00CC0C2C" w:rsidRDefault="00BC0CFD" w:rsidP="001D3766">
      <w:pPr>
        <w:jc w:val="both"/>
      </w:pPr>
      <w:r w:rsidRPr="00CE2003">
        <w:t>All interested organization can send questions to (</w:t>
      </w:r>
      <w:r w:rsidR="001D3766" w:rsidRPr="00CE2003">
        <w:rPr>
          <w:rStyle w:val="Hyperlink"/>
        </w:rPr>
        <w:t>ADDIS_PROCUREMENT@ilo.org</w:t>
      </w:r>
      <w:r w:rsidRPr="00CE2003">
        <w:t>)</w:t>
      </w:r>
      <w:r w:rsidR="005B4F86" w:rsidRPr="00CE2003">
        <w:t xml:space="preserve"> </w:t>
      </w:r>
      <w:r w:rsidRPr="00CE2003">
        <w:t xml:space="preserve">until </w:t>
      </w:r>
      <w:r w:rsidR="00380026" w:rsidRPr="00CC0C2C">
        <w:rPr>
          <w:b/>
        </w:rPr>
        <w:t>1</w:t>
      </w:r>
      <w:r w:rsidR="0023306E">
        <w:rPr>
          <w:b/>
        </w:rPr>
        <w:t>5</w:t>
      </w:r>
      <w:r w:rsidR="00380026" w:rsidRPr="00CC0C2C">
        <w:rPr>
          <w:b/>
        </w:rPr>
        <w:t xml:space="preserve"> </w:t>
      </w:r>
      <w:r w:rsidR="006B5245" w:rsidRPr="00CC0C2C">
        <w:rPr>
          <w:b/>
          <w:bCs/>
        </w:rPr>
        <w:t>J</w:t>
      </w:r>
      <w:r w:rsidR="00DF72C2">
        <w:rPr>
          <w:b/>
          <w:bCs/>
        </w:rPr>
        <w:t>uly</w:t>
      </w:r>
      <w:r w:rsidR="006B5245" w:rsidRPr="00CC0C2C">
        <w:rPr>
          <w:b/>
          <w:bCs/>
        </w:rPr>
        <w:t xml:space="preserve"> </w:t>
      </w:r>
      <w:r w:rsidR="00734AC9" w:rsidRPr="00CC0C2C">
        <w:rPr>
          <w:b/>
        </w:rPr>
        <w:t>2022, 4pm [CAT]</w:t>
      </w:r>
      <w:r w:rsidRPr="00CC0C2C">
        <w:t>. Questions will be answered and shared with the interested organizations</w:t>
      </w:r>
      <w:r w:rsidR="0033767F" w:rsidRPr="00CC0C2C">
        <w:t xml:space="preserve"> </w:t>
      </w:r>
      <w:r w:rsidRPr="00CC0C2C">
        <w:t xml:space="preserve">by Close of Business </w:t>
      </w:r>
      <w:r w:rsidR="005B4F86" w:rsidRPr="00CC0C2C">
        <w:t xml:space="preserve">on </w:t>
      </w:r>
      <w:r w:rsidR="00DF72C2" w:rsidRPr="00DF72C2">
        <w:rPr>
          <w:b/>
          <w:bCs/>
        </w:rPr>
        <w:t>2</w:t>
      </w:r>
      <w:r w:rsidR="0023306E">
        <w:rPr>
          <w:b/>
          <w:bCs/>
        </w:rPr>
        <w:t>0</w:t>
      </w:r>
      <w:r w:rsidR="003F4BF0" w:rsidRPr="00DF72C2">
        <w:rPr>
          <w:b/>
          <w:bCs/>
        </w:rPr>
        <w:t xml:space="preserve"> July </w:t>
      </w:r>
      <w:r w:rsidRPr="00DF72C2">
        <w:rPr>
          <w:b/>
          <w:bCs/>
        </w:rPr>
        <w:t>202</w:t>
      </w:r>
      <w:r w:rsidR="00734AC9" w:rsidRPr="00DF72C2">
        <w:rPr>
          <w:b/>
          <w:bCs/>
        </w:rPr>
        <w:t>2</w:t>
      </w:r>
      <w:r w:rsidRPr="00CC0C2C">
        <w:t>.</w:t>
      </w:r>
    </w:p>
    <w:p w14:paraId="6BAAFF5A" w14:textId="0E6A8CCB" w:rsidR="00105377" w:rsidRPr="0042432A" w:rsidRDefault="003B44CE" w:rsidP="0074738E">
      <w:pPr>
        <w:jc w:val="both"/>
      </w:pPr>
      <w:r w:rsidRPr="00CC0C2C">
        <w:t>Please note that t</w:t>
      </w:r>
      <w:r w:rsidR="00105377" w:rsidRPr="00CC0C2C">
        <w:t>he ILO will not consider incomplete</w:t>
      </w:r>
      <w:r w:rsidR="00105377" w:rsidRPr="00CE2003">
        <w:t xml:space="preserve"> submissions. All responses and supporting documentation received will be treated as strictly confidential and will not be made available for the public.</w:t>
      </w:r>
    </w:p>
    <w:p w14:paraId="020C7197" w14:textId="2D7D778C" w:rsidR="00DD37BA" w:rsidRDefault="00183ACB" w:rsidP="00DD37BA">
      <w:pPr>
        <w:pStyle w:val="Heading2"/>
        <w:jc w:val="both"/>
      </w:pPr>
      <w:r>
        <w:t>PAYMENT SCHEDULE</w:t>
      </w:r>
    </w:p>
    <w:p w14:paraId="77093BCE" w14:textId="7336B089" w:rsidR="0030195F" w:rsidRPr="00E73A87" w:rsidRDefault="0030195F" w:rsidP="00A12CE1">
      <w:pPr>
        <w:pStyle w:val="ListParagraph"/>
        <w:numPr>
          <w:ilvl w:val="0"/>
          <w:numId w:val="10"/>
        </w:numPr>
        <w:jc w:val="both"/>
      </w:pPr>
      <w:r w:rsidRPr="00E73A87">
        <w:t xml:space="preserve">1st payment will be </w:t>
      </w:r>
      <w:r w:rsidR="00734AC9" w:rsidRPr="00E73A87">
        <w:rPr>
          <w:b/>
          <w:bCs/>
        </w:rPr>
        <w:t>2</w:t>
      </w:r>
      <w:r w:rsidR="00A12CE1" w:rsidRPr="00E73A87">
        <w:rPr>
          <w:b/>
          <w:bCs/>
        </w:rPr>
        <w:t>0</w:t>
      </w:r>
      <w:r w:rsidRPr="00E73A87">
        <w:rPr>
          <w:b/>
          <w:bCs/>
        </w:rPr>
        <w:t>%</w:t>
      </w:r>
      <w:r w:rsidRPr="00E73A87">
        <w:t xml:space="preserve"> of the total budget and to be disbursed once the contract is signed</w:t>
      </w:r>
      <w:r w:rsidR="00A12CE1" w:rsidRPr="00E73A87">
        <w:t xml:space="preserve"> and an inception report is submitted</w:t>
      </w:r>
      <w:r w:rsidRPr="00E73A87">
        <w:t>.</w:t>
      </w:r>
      <w:r w:rsidR="000E232B">
        <w:t xml:space="preserve"> (Deliverable A-1)</w:t>
      </w:r>
    </w:p>
    <w:p w14:paraId="3E62E8AD" w14:textId="3C872AD4" w:rsidR="000E232B" w:rsidRPr="000E232B" w:rsidRDefault="0030195F" w:rsidP="000E232B">
      <w:pPr>
        <w:pStyle w:val="ListParagraph"/>
        <w:numPr>
          <w:ilvl w:val="0"/>
          <w:numId w:val="10"/>
        </w:numPr>
        <w:jc w:val="both"/>
      </w:pPr>
      <w:r w:rsidRPr="00E73A87">
        <w:t>2nd payment</w:t>
      </w:r>
      <w:r w:rsidR="000A198C" w:rsidRPr="00E73A87">
        <w:t xml:space="preserve"> will be </w:t>
      </w:r>
      <w:r w:rsidR="00A12CE1" w:rsidRPr="00E73A87">
        <w:rPr>
          <w:b/>
          <w:bCs/>
        </w:rPr>
        <w:t>30</w:t>
      </w:r>
      <w:r w:rsidR="000A198C" w:rsidRPr="00E73A87">
        <w:rPr>
          <w:b/>
          <w:bCs/>
        </w:rPr>
        <w:t>%</w:t>
      </w:r>
      <w:r w:rsidR="000A198C" w:rsidRPr="00E73A87">
        <w:t xml:space="preserve"> of the total budget and will be disbursed on </w:t>
      </w:r>
      <w:r w:rsidR="00DD46A1" w:rsidRPr="00E73A87">
        <w:t xml:space="preserve">completion and submission of Part A </w:t>
      </w:r>
      <w:r w:rsidR="00E73A87" w:rsidRPr="00E73A87">
        <w:t>deliverables.</w:t>
      </w:r>
      <w:r w:rsidR="000E232B">
        <w:t xml:space="preserve"> </w:t>
      </w:r>
      <w:r w:rsidR="000E232B" w:rsidRPr="000E232B">
        <w:t>(Deliverable</w:t>
      </w:r>
      <w:r w:rsidR="004A187D">
        <w:t>s</w:t>
      </w:r>
      <w:r w:rsidR="000E232B" w:rsidRPr="000E232B">
        <w:t xml:space="preserve"> A-</w:t>
      </w:r>
      <w:r w:rsidR="000E232B">
        <w:t>2 &amp; A3</w:t>
      </w:r>
      <w:r w:rsidR="000E232B" w:rsidRPr="000E232B">
        <w:t>)</w:t>
      </w:r>
    </w:p>
    <w:p w14:paraId="4651E9E0" w14:textId="738510A2" w:rsidR="0030195F" w:rsidRPr="00E73A87" w:rsidRDefault="0030195F" w:rsidP="00423612">
      <w:pPr>
        <w:pStyle w:val="ListParagraph"/>
        <w:jc w:val="both"/>
      </w:pPr>
    </w:p>
    <w:p w14:paraId="0A73DF73" w14:textId="10BCF81D" w:rsidR="0030195F" w:rsidRPr="00E73A87" w:rsidRDefault="0030195F" w:rsidP="008F3A14">
      <w:pPr>
        <w:pStyle w:val="ListParagraph"/>
        <w:numPr>
          <w:ilvl w:val="0"/>
          <w:numId w:val="10"/>
        </w:numPr>
        <w:jc w:val="both"/>
      </w:pPr>
      <w:r w:rsidRPr="00E73A87">
        <w:t xml:space="preserve">3rd payment </w:t>
      </w:r>
      <w:r w:rsidR="001D3766" w:rsidRPr="00E73A87">
        <w:t xml:space="preserve">will be </w:t>
      </w:r>
      <w:r w:rsidR="00CE2003" w:rsidRPr="00E73A87">
        <w:rPr>
          <w:b/>
          <w:bCs/>
        </w:rPr>
        <w:t>15</w:t>
      </w:r>
      <w:r w:rsidR="00FF71DB" w:rsidRPr="00E73A87">
        <w:rPr>
          <w:b/>
          <w:bCs/>
        </w:rPr>
        <w:t>%</w:t>
      </w:r>
      <w:r w:rsidR="00FF71DB" w:rsidRPr="00E73A87">
        <w:t xml:space="preserve"> of the budget to be </w:t>
      </w:r>
      <w:r w:rsidR="00CE2003" w:rsidRPr="00E73A87">
        <w:t xml:space="preserve">disbursed on completion </w:t>
      </w:r>
      <w:r w:rsidR="00CA2BDE">
        <w:t xml:space="preserve">of 50% of deliverables under </w:t>
      </w:r>
      <w:r w:rsidR="00CE2003" w:rsidRPr="00E73A87">
        <w:t>Part B</w:t>
      </w:r>
      <w:r w:rsidR="00CA2BDE">
        <w:t xml:space="preserve"> </w:t>
      </w:r>
      <w:r w:rsidR="00CE2003" w:rsidRPr="00E73A87">
        <w:t>(</w:t>
      </w:r>
      <w:proofErr w:type="gramStart"/>
      <w:r w:rsidR="00CA2BDE">
        <w:t>i.e.</w:t>
      </w:r>
      <w:proofErr w:type="gramEnd"/>
      <w:r w:rsidR="00CA2BDE">
        <w:t xml:space="preserve"> </w:t>
      </w:r>
      <w:r w:rsidR="00221B41">
        <w:t>in-kind grant procured and handed over to 125 entrepreneur</w:t>
      </w:r>
      <w:r w:rsidR="00CE2003" w:rsidRPr="00E73A87">
        <w:t>)</w:t>
      </w:r>
      <w:r w:rsidR="000A198C" w:rsidRPr="00E73A87">
        <w:t xml:space="preserve">; </w:t>
      </w:r>
      <w:r w:rsidR="00D15C1F">
        <w:t>(Deliverable</w:t>
      </w:r>
      <w:r w:rsidR="004A187D">
        <w:t>s</w:t>
      </w:r>
      <w:r w:rsidR="00D15C1F">
        <w:t xml:space="preserve"> B-1 &amp; B2)</w:t>
      </w:r>
    </w:p>
    <w:p w14:paraId="690B2C4A" w14:textId="2882ECFF" w:rsidR="0044171B" w:rsidRPr="00E73A87" w:rsidRDefault="0030195F">
      <w:pPr>
        <w:pStyle w:val="ListParagraph"/>
        <w:numPr>
          <w:ilvl w:val="0"/>
          <w:numId w:val="10"/>
        </w:numPr>
        <w:jc w:val="both"/>
      </w:pPr>
      <w:r w:rsidRPr="00E73A87">
        <w:t xml:space="preserve">4th payment </w:t>
      </w:r>
      <w:r w:rsidR="00FF71DB" w:rsidRPr="00E73A87">
        <w:t xml:space="preserve">of </w:t>
      </w:r>
      <w:r w:rsidR="00CE2003" w:rsidRPr="00E73A87">
        <w:rPr>
          <w:b/>
          <w:bCs/>
        </w:rPr>
        <w:t>15</w:t>
      </w:r>
      <w:r w:rsidR="00FF71DB" w:rsidRPr="00E73A87">
        <w:rPr>
          <w:b/>
          <w:bCs/>
        </w:rPr>
        <w:t>%</w:t>
      </w:r>
      <w:r w:rsidR="00FF71DB" w:rsidRPr="00E73A87">
        <w:t xml:space="preserve"> is to be </w:t>
      </w:r>
      <w:r w:rsidR="00CE2003" w:rsidRPr="00E73A87">
        <w:t>disbursed on completion and submission of the other 50% of Part B deliverables</w:t>
      </w:r>
      <w:r w:rsidR="00FF71DB" w:rsidRPr="00E73A87">
        <w:t xml:space="preserve">. </w:t>
      </w:r>
      <w:r w:rsidR="00D15C1F" w:rsidRPr="00D15C1F">
        <w:t>(Deliverable</w:t>
      </w:r>
      <w:r w:rsidR="004A187D">
        <w:t>s</w:t>
      </w:r>
      <w:r w:rsidR="00D15C1F" w:rsidRPr="00D15C1F">
        <w:t xml:space="preserve"> B-</w:t>
      </w:r>
      <w:r w:rsidR="00D15C1F">
        <w:t>3</w:t>
      </w:r>
      <w:r w:rsidR="00D15C1F" w:rsidRPr="00D15C1F">
        <w:t xml:space="preserve"> &amp; B</w:t>
      </w:r>
      <w:r w:rsidR="00D15C1F">
        <w:t>4</w:t>
      </w:r>
      <w:r w:rsidR="00D15C1F" w:rsidRPr="00D15C1F">
        <w:t>)</w:t>
      </w:r>
    </w:p>
    <w:p w14:paraId="528FE376" w14:textId="41CAAE48" w:rsidR="00DF72C2" w:rsidRDefault="00CE2003" w:rsidP="00CE2003">
      <w:pPr>
        <w:pStyle w:val="ListParagraph"/>
        <w:numPr>
          <w:ilvl w:val="0"/>
          <w:numId w:val="10"/>
        </w:numPr>
        <w:jc w:val="both"/>
      </w:pPr>
      <w:r w:rsidRPr="00E73A87">
        <w:t xml:space="preserve">5th payment of </w:t>
      </w:r>
      <w:r w:rsidR="0023306E">
        <w:rPr>
          <w:b/>
          <w:bCs/>
        </w:rPr>
        <w:t>15</w:t>
      </w:r>
      <w:r w:rsidRPr="00E73A87">
        <w:rPr>
          <w:b/>
          <w:bCs/>
        </w:rPr>
        <w:t>%</w:t>
      </w:r>
      <w:r w:rsidRPr="00E73A87">
        <w:t xml:space="preserve"> is to be disbursed upon the completion of all deliverables under </w:t>
      </w:r>
      <w:r w:rsidRPr="00E73A87">
        <w:rPr>
          <w:i/>
          <w:iCs/>
        </w:rPr>
        <w:t>Part C</w:t>
      </w:r>
      <w:r w:rsidRPr="00E73A87">
        <w:t>.</w:t>
      </w:r>
      <w:r w:rsidR="00D15C1F">
        <w:t xml:space="preserve"> (Deliverable</w:t>
      </w:r>
      <w:r w:rsidR="004A187D">
        <w:t>s</w:t>
      </w:r>
      <w:r w:rsidR="00D15C1F">
        <w:t xml:space="preserve"> C-1 and C2)</w:t>
      </w:r>
    </w:p>
    <w:p w14:paraId="3AD3A346" w14:textId="0B488018" w:rsidR="00D15C1F" w:rsidRPr="00D15C1F" w:rsidRDefault="00DF72C2" w:rsidP="00D15C1F">
      <w:pPr>
        <w:pStyle w:val="ListParagraph"/>
        <w:numPr>
          <w:ilvl w:val="0"/>
          <w:numId w:val="10"/>
        </w:numPr>
        <w:jc w:val="both"/>
      </w:pPr>
      <w:r>
        <w:t xml:space="preserve">6th payment of </w:t>
      </w:r>
      <w:r w:rsidRPr="0023306E">
        <w:rPr>
          <w:b/>
          <w:bCs/>
        </w:rPr>
        <w:t>5%</w:t>
      </w:r>
      <w:r>
        <w:t xml:space="preserve"> is to be disbursed upon the completion of </w:t>
      </w:r>
      <w:proofErr w:type="gramStart"/>
      <w:r>
        <w:t>final end</w:t>
      </w:r>
      <w:proofErr w:type="gramEnd"/>
      <w:r>
        <w:t xml:space="preserve"> of activity narrative and financial report.</w:t>
      </w:r>
      <w:r w:rsidR="00CE2003" w:rsidRPr="00E73A87">
        <w:t xml:space="preserve"> </w:t>
      </w:r>
      <w:r w:rsidR="00D15C1F" w:rsidRPr="00D15C1F">
        <w:t>(Deliverable C-</w:t>
      </w:r>
      <w:r w:rsidR="00D15C1F">
        <w:t>3)</w:t>
      </w:r>
    </w:p>
    <w:p w14:paraId="52AABEDE" w14:textId="642B8893" w:rsidR="00CE2003" w:rsidRPr="00E73A87" w:rsidRDefault="00CE2003" w:rsidP="00CE2003">
      <w:pPr>
        <w:pStyle w:val="ListParagraph"/>
        <w:numPr>
          <w:ilvl w:val="0"/>
          <w:numId w:val="10"/>
        </w:numPr>
        <w:jc w:val="both"/>
      </w:pPr>
    </w:p>
    <w:p w14:paraId="1CDC836D" w14:textId="77777777" w:rsidR="00CE2003" w:rsidRPr="00692B7C" w:rsidRDefault="00CE2003" w:rsidP="00CE2003">
      <w:pPr>
        <w:pStyle w:val="ListParagraph"/>
        <w:jc w:val="both"/>
        <w:rPr>
          <w:highlight w:val="yellow"/>
        </w:rPr>
      </w:pPr>
    </w:p>
    <w:p w14:paraId="471D2FDB" w14:textId="77777777" w:rsidR="00E901B0" w:rsidRPr="00E901B0" w:rsidRDefault="00E901B0" w:rsidP="00E901B0">
      <w:pPr>
        <w:pStyle w:val="Heading2"/>
        <w:jc w:val="both"/>
      </w:pPr>
      <w:r w:rsidRPr="00E901B0">
        <w:t xml:space="preserve">SELECTION CRITERIA </w:t>
      </w:r>
    </w:p>
    <w:p w14:paraId="5D26913D" w14:textId="2DC36AE0" w:rsidR="00D26AE3" w:rsidRPr="003359D1" w:rsidRDefault="00D26AE3" w:rsidP="00D26AE3">
      <w:r w:rsidRPr="003359D1">
        <w:t>The s</w:t>
      </w:r>
      <w:r>
        <w:t xml:space="preserve">elected </w:t>
      </w:r>
      <w:r w:rsidR="00335CF7">
        <w:t xml:space="preserve">Sudanese </w:t>
      </w:r>
      <w:r>
        <w:t xml:space="preserve">NGO Implementing Partner </w:t>
      </w:r>
      <w:r w:rsidRPr="003359D1">
        <w:t xml:space="preserve">will have a mix of expertise and qualifications in the focus areas related to this </w:t>
      </w:r>
      <w:proofErr w:type="spellStart"/>
      <w:r>
        <w:t>ToR</w:t>
      </w:r>
      <w:proofErr w:type="spellEnd"/>
      <w:r w:rsidRPr="003359D1">
        <w:t xml:space="preserve">. Evaluation of the suitability of the </w:t>
      </w:r>
      <w:r>
        <w:t>NGO</w:t>
      </w:r>
      <w:r w:rsidRPr="003359D1">
        <w:t xml:space="preserve"> to work on this assignment will be made against the following </w:t>
      </w:r>
      <w:r>
        <w:t>selection</w:t>
      </w:r>
      <w:r w:rsidRPr="003359D1">
        <w:t xml:space="preserve"> criteria:</w:t>
      </w:r>
    </w:p>
    <w:tbl>
      <w:tblPr>
        <w:tblStyle w:val="TableGrid"/>
        <w:tblW w:w="9067" w:type="dxa"/>
        <w:tblLook w:val="04A0" w:firstRow="1" w:lastRow="0" w:firstColumn="1" w:lastColumn="0" w:noHBand="0" w:noVBand="1"/>
      </w:tblPr>
      <w:tblGrid>
        <w:gridCol w:w="6941"/>
        <w:gridCol w:w="2126"/>
      </w:tblGrid>
      <w:tr w:rsidR="00D26AE3" w:rsidRPr="003359D1" w14:paraId="04FFB020" w14:textId="77777777" w:rsidTr="0039150E">
        <w:trPr>
          <w:trHeight w:val="441"/>
        </w:trPr>
        <w:tc>
          <w:tcPr>
            <w:tcW w:w="6941" w:type="dxa"/>
            <w:shd w:val="clear" w:color="auto" w:fill="F2F2F2" w:themeFill="background1" w:themeFillShade="F2"/>
            <w:vAlign w:val="center"/>
          </w:tcPr>
          <w:p w14:paraId="559C84AE" w14:textId="77777777" w:rsidR="00D26AE3" w:rsidRPr="003359D1" w:rsidRDefault="00D26AE3" w:rsidP="0039150E">
            <w:pPr>
              <w:jc w:val="center"/>
              <w:rPr>
                <w:b/>
                <w:bCs/>
              </w:rPr>
            </w:pPr>
            <w:r w:rsidRPr="003359D1">
              <w:rPr>
                <w:b/>
                <w:bCs/>
              </w:rPr>
              <w:t>Evaluation Criteria</w:t>
            </w:r>
          </w:p>
        </w:tc>
        <w:tc>
          <w:tcPr>
            <w:tcW w:w="2126" w:type="dxa"/>
            <w:shd w:val="clear" w:color="auto" w:fill="F2F2F2" w:themeFill="background1" w:themeFillShade="F2"/>
            <w:vAlign w:val="center"/>
          </w:tcPr>
          <w:p w14:paraId="709AFD98" w14:textId="77777777" w:rsidR="00D26AE3" w:rsidRPr="003359D1" w:rsidRDefault="00D26AE3" w:rsidP="0039150E">
            <w:pPr>
              <w:jc w:val="center"/>
              <w:rPr>
                <w:b/>
                <w:bCs/>
              </w:rPr>
            </w:pPr>
            <w:r w:rsidRPr="003359D1">
              <w:rPr>
                <w:b/>
                <w:bCs/>
              </w:rPr>
              <w:t>Maximum mark</w:t>
            </w:r>
          </w:p>
        </w:tc>
      </w:tr>
      <w:tr w:rsidR="00D26AE3" w:rsidRPr="003359D1" w14:paraId="0B5305FB" w14:textId="77777777" w:rsidTr="0039150E">
        <w:trPr>
          <w:trHeight w:val="417"/>
        </w:trPr>
        <w:tc>
          <w:tcPr>
            <w:tcW w:w="9067" w:type="dxa"/>
            <w:gridSpan w:val="2"/>
            <w:shd w:val="clear" w:color="auto" w:fill="D5DCE4" w:themeFill="text2" w:themeFillTint="33"/>
            <w:vAlign w:val="center"/>
          </w:tcPr>
          <w:p w14:paraId="6014717F" w14:textId="77777777" w:rsidR="00D26AE3" w:rsidRPr="003359D1" w:rsidRDefault="00D26AE3" w:rsidP="00D26AE3">
            <w:pPr>
              <w:pStyle w:val="ListParagraph"/>
              <w:numPr>
                <w:ilvl w:val="0"/>
                <w:numId w:val="21"/>
              </w:numPr>
              <w:rPr>
                <w:b/>
                <w:bCs/>
              </w:rPr>
            </w:pPr>
            <w:r>
              <w:rPr>
                <w:b/>
                <w:bCs/>
              </w:rPr>
              <w:t>Technical Proposal</w:t>
            </w:r>
          </w:p>
        </w:tc>
      </w:tr>
      <w:tr w:rsidR="00D26AE3" w:rsidRPr="003359D1" w14:paraId="7E1164BB" w14:textId="77777777" w:rsidTr="0039150E">
        <w:trPr>
          <w:trHeight w:val="708"/>
        </w:trPr>
        <w:tc>
          <w:tcPr>
            <w:tcW w:w="6941" w:type="dxa"/>
            <w:vAlign w:val="center"/>
          </w:tcPr>
          <w:p w14:paraId="0B1936CB" w14:textId="3B6FF60B" w:rsidR="00D26AE3" w:rsidRPr="003359D1" w:rsidRDefault="00D26AE3" w:rsidP="0039150E">
            <w:pPr>
              <w:rPr>
                <w:sz w:val="20"/>
                <w:szCs w:val="20"/>
              </w:rPr>
            </w:pPr>
            <w:r>
              <w:rPr>
                <w:rFonts w:ascii="Calibri" w:hAnsi="Calibri" w:cs="Calibri"/>
                <w:color w:val="000000"/>
                <w:sz w:val="20"/>
                <w:szCs w:val="20"/>
              </w:rPr>
              <w:t xml:space="preserve">The Technical Proposal </w:t>
            </w:r>
            <w:proofErr w:type="gramStart"/>
            <w:r>
              <w:rPr>
                <w:rFonts w:ascii="Calibri" w:hAnsi="Calibri" w:cs="Calibri"/>
                <w:color w:val="000000"/>
                <w:sz w:val="20"/>
                <w:szCs w:val="20"/>
              </w:rPr>
              <w:t xml:space="preserve">contains </w:t>
            </w:r>
            <w:r w:rsidR="006A6BE9">
              <w:rPr>
                <w:rFonts w:ascii="Calibri" w:hAnsi="Calibri" w:cs="Calibri"/>
                <w:color w:val="000000"/>
                <w:sz w:val="20"/>
                <w:szCs w:val="20"/>
              </w:rPr>
              <w:t xml:space="preserve"> clear</w:t>
            </w:r>
            <w:proofErr w:type="gramEnd"/>
            <w:r w:rsidR="006A6BE9">
              <w:rPr>
                <w:rFonts w:ascii="Calibri" w:hAnsi="Calibri" w:cs="Calibri"/>
                <w:color w:val="000000"/>
                <w:sz w:val="20"/>
                <w:szCs w:val="20"/>
              </w:rPr>
              <w:t xml:space="preserve"> strategy, outputs, activities and </w:t>
            </w:r>
            <w:r>
              <w:rPr>
                <w:rFonts w:ascii="Calibri" w:hAnsi="Calibri" w:cs="Calibri"/>
                <w:color w:val="000000"/>
                <w:sz w:val="20"/>
                <w:szCs w:val="20"/>
              </w:rPr>
              <w:t xml:space="preserve">workplan that provides adequate time to undertake </w:t>
            </w:r>
            <w:r w:rsidR="00BD1543">
              <w:rPr>
                <w:rFonts w:ascii="Calibri" w:hAnsi="Calibri" w:cs="Calibri"/>
                <w:color w:val="000000"/>
                <w:sz w:val="20"/>
                <w:szCs w:val="20"/>
              </w:rPr>
              <w:t>the BPC</w:t>
            </w:r>
            <w:r w:rsidR="006A6BE9">
              <w:rPr>
                <w:rFonts w:ascii="Calibri" w:hAnsi="Calibri" w:cs="Calibri"/>
                <w:color w:val="000000"/>
                <w:sz w:val="20"/>
                <w:szCs w:val="20"/>
              </w:rPr>
              <w:t>,</w:t>
            </w:r>
            <w:r w:rsidR="00BD1543">
              <w:rPr>
                <w:rFonts w:ascii="Calibri" w:hAnsi="Calibri" w:cs="Calibri"/>
                <w:color w:val="000000"/>
                <w:sz w:val="20"/>
                <w:szCs w:val="20"/>
              </w:rPr>
              <w:t xml:space="preserve"> procure and distribute the in-kind grants</w:t>
            </w:r>
            <w:r w:rsidR="006A6BE9">
              <w:rPr>
                <w:rFonts w:ascii="Calibri" w:hAnsi="Calibri" w:cs="Calibri"/>
                <w:color w:val="000000"/>
                <w:sz w:val="20"/>
                <w:szCs w:val="20"/>
              </w:rPr>
              <w:t xml:space="preserve"> and provide adequate </w:t>
            </w:r>
            <w:proofErr w:type="spellStart"/>
            <w:r w:rsidR="006A6BE9">
              <w:rPr>
                <w:rFonts w:ascii="Calibri" w:hAnsi="Calibri" w:cs="Calibri"/>
                <w:color w:val="000000"/>
                <w:sz w:val="20"/>
                <w:szCs w:val="20"/>
              </w:rPr>
              <w:t>followup</w:t>
            </w:r>
            <w:proofErr w:type="spellEnd"/>
            <w:r w:rsidR="006A6BE9">
              <w:rPr>
                <w:rFonts w:ascii="Calibri" w:hAnsi="Calibri" w:cs="Calibri"/>
                <w:color w:val="000000"/>
                <w:sz w:val="20"/>
                <w:szCs w:val="20"/>
              </w:rPr>
              <w:t xml:space="preserve"> of the beneficiaries</w:t>
            </w:r>
            <w:r>
              <w:rPr>
                <w:rFonts w:ascii="Calibri" w:hAnsi="Calibri" w:cs="Calibri"/>
                <w:color w:val="000000"/>
                <w:sz w:val="20"/>
                <w:szCs w:val="20"/>
              </w:rPr>
              <w:t xml:space="preserve">.  </w:t>
            </w:r>
          </w:p>
        </w:tc>
        <w:tc>
          <w:tcPr>
            <w:tcW w:w="2126" w:type="dxa"/>
            <w:vAlign w:val="center"/>
          </w:tcPr>
          <w:p w14:paraId="6157BD98" w14:textId="77777777" w:rsidR="00D26AE3" w:rsidRPr="003359D1" w:rsidRDefault="00D26AE3" w:rsidP="0039150E">
            <w:pPr>
              <w:jc w:val="center"/>
            </w:pPr>
            <w:r>
              <w:t>3</w:t>
            </w:r>
            <w:r w:rsidRPr="003359D1">
              <w:t>0</w:t>
            </w:r>
          </w:p>
        </w:tc>
      </w:tr>
      <w:tr w:rsidR="00D26AE3" w:rsidRPr="003359D1" w14:paraId="22E1ADE5" w14:textId="77777777" w:rsidTr="0039150E">
        <w:trPr>
          <w:trHeight w:val="415"/>
        </w:trPr>
        <w:tc>
          <w:tcPr>
            <w:tcW w:w="6941" w:type="dxa"/>
            <w:vAlign w:val="center"/>
          </w:tcPr>
          <w:p w14:paraId="7C524514" w14:textId="28915304" w:rsidR="00D26AE3" w:rsidRPr="003359D1" w:rsidRDefault="00D26AE3" w:rsidP="0039150E">
            <w:pPr>
              <w:rPr>
                <w:sz w:val="20"/>
                <w:szCs w:val="20"/>
              </w:rPr>
            </w:pPr>
            <w:r>
              <w:rPr>
                <w:rFonts w:ascii="Calibri" w:hAnsi="Calibri" w:cs="Calibri"/>
                <w:color w:val="000000"/>
                <w:sz w:val="20"/>
                <w:szCs w:val="20"/>
              </w:rPr>
              <w:t>The Technical Proposal submitted includes a clear indication of the comparative advantage of the organization and staffing plan</w:t>
            </w:r>
            <w:r w:rsidR="006A6BE9">
              <w:rPr>
                <w:rFonts w:ascii="Calibri" w:hAnsi="Calibri" w:cs="Calibri"/>
                <w:color w:val="000000"/>
                <w:sz w:val="20"/>
                <w:szCs w:val="20"/>
              </w:rPr>
              <w:t xml:space="preserve"> to implement the BPC</w:t>
            </w:r>
            <w:r>
              <w:rPr>
                <w:rFonts w:ascii="Calibri" w:hAnsi="Calibri" w:cs="Calibri"/>
                <w:color w:val="000000"/>
                <w:sz w:val="20"/>
                <w:szCs w:val="20"/>
              </w:rPr>
              <w:t xml:space="preserve">. </w:t>
            </w:r>
          </w:p>
        </w:tc>
        <w:tc>
          <w:tcPr>
            <w:tcW w:w="2126" w:type="dxa"/>
            <w:vAlign w:val="center"/>
          </w:tcPr>
          <w:p w14:paraId="7B3106E0" w14:textId="77777777" w:rsidR="00D26AE3" w:rsidRPr="003359D1" w:rsidRDefault="00D26AE3" w:rsidP="0039150E">
            <w:pPr>
              <w:jc w:val="center"/>
            </w:pPr>
            <w:r w:rsidRPr="003359D1">
              <w:t>10</w:t>
            </w:r>
          </w:p>
        </w:tc>
      </w:tr>
      <w:tr w:rsidR="00D26AE3" w:rsidRPr="003359D1" w14:paraId="1D2A1388" w14:textId="77777777" w:rsidTr="0039150E">
        <w:trPr>
          <w:trHeight w:val="562"/>
        </w:trPr>
        <w:tc>
          <w:tcPr>
            <w:tcW w:w="6941" w:type="dxa"/>
            <w:vAlign w:val="center"/>
          </w:tcPr>
          <w:p w14:paraId="46D90109" w14:textId="77777777" w:rsidR="00D26AE3" w:rsidRPr="003359D1" w:rsidRDefault="00D26AE3" w:rsidP="0039150E">
            <w:pPr>
              <w:rPr>
                <w:sz w:val="20"/>
                <w:szCs w:val="20"/>
              </w:rPr>
            </w:pPr>
            <w:r>
              <w:rPr>
                <w:rFonts w:ascii="Calibri" w:hAnsi="Calibri" w:cs="Calibri"/>
                <w:color w:val="000000"/>
                <w:sz w:val="20"/>
                <w:szCs w:val="20"/>
              </w:rPr>
              <w:t xml:space="preserve">Technical Offers contains a list of projects delivered to date as well as reporting the experience and CVs of senior staff including contact and reference information that helps to provide evidence that the proposed NGO Implementing Partner possesses the technical expertise required to implement the workplan developed to deliver the scope work required and reported in the </w:t>
            </w:r>
            <w:proofErr w:type="spellStart"/>
            <w:r>
              <w:rPr>
                <w:rFonts w:ascii="Calibri" w:hAnsi="Calibri" w:cs="Calibri"/>
                <w:color w:val="000000"/>
                <w:sz w:val="20"/>
                <w:szCs w:val="20"/>
              </w:rPr>
              <w:t>ToR</w:t>
            </w:r>
            <w:proofErr w:type="spellEnd"/>
            <w:r>
              <w:rPr>
                <w:rFonts w:ascii="Calibri" w:hAnsi="Calibri" w:cs="Calibri"/>
                <w:color w:val="000000"/>
                <w:sz w:val="20"/>
                <w:szCs w:val="20"/>
              </w:rPr>
              <w:t>.</w:t>
            </w:r>
          </w:p>
        </w:tc>
        <w:tc>
          <w:tcPr>
            <w:tcW w:w="2126" w:type="dxa"/>
            <w:vAlign w:val="center"/>
          </w:tcPr>
          <w:p w14:paraId="0E097DC1" w14:textId="77777777" w:rsidR="00D26AE3" w:rsidRPr="003359D1" w:rsidRDefault="00D26AE3" w:rsidP="0039150E">
            <w:pPr>
              <w:jc w:val="center"/>
            </w:pPr>
            <w:r>
              <w:t>20</w:t>
            </w:r>
          </w:p>
        </w:tc>
      </w:tr>
      <w:tr w:rsidR="00D26AE3" w:rsidRPr="003359D1" w14:paraId="48B01C3A" w14:textId="77777777" w:rsidTr="0039150E">
        <w:trPr>
          <w:trHeight w:val="411"/>
        </w:trPr>
        <w:tc>
          <w:tcPr>
            <w:tcW w:w="6941" w:type="dxa"/>
          </w:tcPr>
          <w:p w14:paraId="723C07A5" w14:textId="513EC914" w:rsidR="00D26AE3" w:rsidRPr="003359D1" w:rsidRDefault="00D26AE3" w:rsidP="0039150E">
            <w:pPr>
              <w:rPr>
                <w:sz w:val="20"/>
                <w:szCs w:val="20"/>
              </w:rPr>
            </w:pPr>
            <w:r>
              <w:rPr>
                <w:rFonts w:ascii="Calibri" w:hAnsi="Calibri" w:cs="Calibri"/>
                <w:color w:val="000000"/>
                <w:sz w:val="20"/>
                <w:szCs w:val="20"/>
              </w:rPr>
              <w:t xml:space="preserve">Technical Offer includes requested supporting documents: organogram, relevant ethics/conduct protocols and the latest financial audit to demonstrate the financial capacity of the proposed implementing partner to undertake the requested service provision identified in the </w:t>
            </w:r>
            <w:proofErr w:type="spellStart"/>
            <w:r>
              <w:rPr>
                <w:rFonts w:ascii="Calibri" w:hAnsi="Calibri" w:cs="Calibri"/>
                <w:color w:val="000000"/>
                <w:sz w:val="20"/>
                <w:szCs w:val="20"/>
              </w:rPr>
              <w:t>ToR</w:t>
            </w:r>
            <w:proofErr w:type="spellEnd"/>
            <w:r>
              <w:rPr>
                <w:rFonts w:ascii="Calibri" w:hAnsi="Calibri" w:cs="Calibri"/>
                <w:color w:val="000000"/>
                <w:sz w:val="20"/>
                <w:szCs w:val="20"/>
              </w:rPr>
              <w:t>.</w:t>
            </w:r>
          </w:p>
        </w:tc>
        <w:tc>
          <w:tcPr>
            <w:tcW w:w="2126" w:type="dxa"/>
            <w:vAlign w:val="center"/>
          </w:tcPr>
          <w:p w14:paraId="03FE2A79" w14:textId="77777777" w:rsidR="00D26AE3" w:rsidRPr="003359D1" w:rsidRDefault="00D26AE3" w:rsidP="0039150E">
            <w:pPr>
              <w:jc w:val="center"/>
            </w:pPr>
            <w:r>
              <w:t>20</w:t>
            </w:r>
          </w:p>
        </w:tc>
      </w:tr>
      <w:tr w:rsidR="00D26AE3" w:rsidRPr="003359D1" w14:paraId="2B7D75BF" w14:textId="77777777" w:rsidTr="0039150E">
        <w:trPr>
          <w:trHeight w:val="411"/>
        </w:trPr>
        <w:tc>
          <w:tcPr>
            <w:tcW w:w="6941" w:type="dxa"/>
            <w:vAlign w:val="center"/>
          </w:tcPr>
          <w:p w14:paraId="2737C6B9" w14:textId="77777777" w:rsidR="00D26AE3" w:rsidRPr="003359D1" w:rsidRDefault="00D26AE3" w:rsidP="0039150E">
            <w:pPr>
              <w:rPr>
                <w:sz w:val="20"/>
                <w:szCs w:val="20"/>
              </w:rPr>
            </w:pPr>
            <w:r>
              <w:rPr>
                <w:rFonts w:ascii="Calibri" w:hAnsi="Calibri" w:cs="Calibri"/>
                <w:color w:val="000000"/>
                <w:sz w:val="20"/>
                <w:szCs w:val="20"/>
              </w:rPr>
              <w:t>The proposal clearly indicates how the Implementing Partner intends to bridge the distance between target localities if they don't have an office in both target states.</w:t>
            </w:r>
          </w:p>
        </w:tc>
        <w:tc>
          <w:tcPr>
            <w:tcW w:w="2126" w:type="dxa"/>
            <w:vAlign w:val="center"/>
          </w:tcPr>
          <w:p w14:paraId="21CF5F08" w14:textId="77777777" w:rsidR="00D26AE3" w:rsidRPr="003359D1" w:rsidRDefault="00D26AE3" w:rsidP="0039150E">
            <w:pPr>
              <w:jc w:val="center"/>
            </w:pPr>
            <w:r>
              <w:t>20</w:t>
            </w:r>
          </w:p>
        </w:tc>
      </w:tr>
      <w:tr w:rsidR="00D26AE3" w:rsidRPr="003359D1" w14:paraId="3DEA8BF9" w14:textId="77777777" w:rsidTr="0039150E">
        <w:trPr>
          <w:trHeight w:val="411"/>
        </w:trPr>
        <w:tc>
          <w:tcPr>
            <w:tcW w:w="6941" w:type="dxa"/>
            <w:vAlign w:val="center"/>
          </w:tcPr>
          <w:p w14:paraId="071AF0F0" w14:textId="77777777" w:rsidR="00D26AE3" w:rsidRPr="003359D1" w:rsidRDefault="00D26AE3" w:rsidP="0039150E">
            <w:pPr>
              <w:rPr>
                <w:b/>
                <w:bCs/>
              </w:rPr>
            </w:pPr>
            <w:r w:rsidRPr="003359D1">
              <w:rPr>
                <w:b/>
                <w:bCs/>
              </w:rPr>
              <w:t>Maximum Points</w:t>
            </w:r>
          </w:p>
        </w:tc>
        <w:tc>
          <w:tcPr>
            <w:tcW w:w="2126" w:type="dxa"/>
            <w:vAlign w:val="center"/>
          </w:tcPr>
          <w:p w14:paraId="2F99E4C8" w14:textId="77777777" w:rsidR="00D26AE3" w:rsidRPr="003359D1" w:rsidRDefault="00D26AE3" w:rsidP="0039150E">
            <w:pPr>
              <w:jc w:val="center"/>
              <w:rPr>
                <w:b/>
                <w:bCs/>
              </w:rPr>
            </w:pPr>
            <w:r>
              <w:rPr>
                <w:b/>
                <w:bCs/>
              </w:rPr>
              <w:t>100</w:t>
            </w:r>
          </w:p>
        </w:tc>
      </w:tr>
      <w:tr w:rsidR="00D26AE3" w:rsidRPr="003359D1" w14:paraId="7CFBCC4C" w14:textId="77777777" w:rsidTr="0039150E">
        <w:trPr>
          <w:trHeight w:val="415"/>
        </w:trPr>
        <w:tc>
          <w:tcPr>
            <w:tcW w:w="6941" w:type="dxa"/>
            <w:vAlign w:val="center"/>
          </w:tcPr>
          <w:p w14:paraId="6A089596" w14:textId="77777777" w:rsidR="00D26AE3" w:rsidRPr="003359D1" w:rsidRDefault="00D26AE3" w:rsidP="0039150E">
            <w:r w:rsidRPr="003359D1">
              <w:t xml:space="preserve">Minimum Acceptable Score for the Proposal to be </w:t>
            </w:r>
            <w:r>
              <w:t xml:space="preserve">financially </w:t>
            </w:r>
            <w:r w:rsidRPr="003359D1">
              <w:t>reviewed</w:t>
            </w:r>
          </w:p>
        </w:tc>
        <w:tc>
          <w:tcPr>
            <w:tcW w:w="2126" w:type="dxa"/>
            <w:vAlign w:val="center"/>
          </w:tcPr>
          <w:p w14:paraId="665F9C4B" w14:textId="70B4F03C" w:rsidR="00D26AE3" w:rsidRPr="00F045EA" w:rsidRDefault="00CE7E81" w:rsidP="0039150E">
            <w:pPr>
              <w:jc w:val="center"/>
              <w:rPr>
                <w:b/>
                <w:bCs/>
              </w:rPr>
            </w:pPr>
            <w:r>
              <w:rPr>
                <w:b/>
                <w:bCs/>
              </w:rPr>
              <w:t>6</w:t>
            </w:r>
            <w:r w:rsidRPr="00F045EA">
              <w:rPr>
                <w:b/>
                <w:bCs/>
              </w:rPr>
              <w:t>0</w:t>
            </w:r>
            <w:r>
              <w:rPr>
                <w:b/>
                <w:bCs/>
              </w:rPr>
              <w:t>%</w:t>
            </w:r>
          </w:p>
        </w:tc>
      </w:tr>
    </w:tbl>
    <w:p w14:paraId="62D984C1" w14:textId="77777777" w:rsidR="00D26AE3" w:rsidRPr="00BC0CFD" w:rsidRDefault="00D26AE3" w:rsidP="00D26AE3">
      <w:pPr>
        <w:jc w:val="both"/>
      </w:pPr>
    </w:p>
    <w:p w14:paraId="45C1BDCC" w14:textId="4DC6D7C6" w:rsidR="00E901B0" w:rsidRPr="00E73A87" w:rsidRDefault="00E901B0" w:rsidP="00E901B0">
      <w:pPr>
        <w:jc w:val="both"/>
      </w:pPr>
    </w:p>
    <w:sectPr w:rsidR="00E901B0" w:rsidRPr="00E73A87" w:rsidSect="005B4F86">
      <w:headerReference w:type="default" r:id="rId10"/>
      <w:footerReference w:type="default" r:id="rId11"/>
      <w:pgSz w:w="11906" w:h="16838"/>
      <w:pgMar w:top="127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F436B" w14:textId="77777777" w:rsidR="002500A4" w:rsidRDefault="002500A4" w:rsidP="009975D9">
      <w:pPr>
        <w:spacing w:after="0" w:line="240" w:lineRule="auto"/>
      </w:pPr>
      <w:r>
        <w:separator/>
      </w:r>
    </w:p>
  </w:endnote>
  <w:endnote w:type="continuationSeparator" w:id="0">
    <w:p w14:paraId="79BFF540" w14:textId="77777777" w:rsidR="002500A4" w:rsidRDefault="002500A4" w:rsidP="009975D9">
      <w:pPr>
        <w:spacing w:after="0" w:line="240" w:lineRule="auto"/>
      </w:pPr>
      <w:r>
        <w:continuationSeparator/>
      </w:r>
    </w:p>
  </w:endnote>
  <w:endnote w:type="continuationNotice" w:id="1">
    <w:p w14:paraId="64199122" w14:textId="77777777" w:rsidR="002500A4" w:rsidRDefault="002500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A4AA" w14:textId="77777777" w:rsidR="00F11FFB" w:rsidRDefault="00F11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3BA7B" w14:textId="77777777" w:rsidR="002500A4" w:rsidRDefault="002500A4" w:rsidP="009975D9">
      <w:pPr>
        <w:spacing w:after="0" w:line="240" w:lineRule="auto"/>
      </w:pPr>
      <w:r>
        <w:separator/>
      </w:r>
    </w:p>
  </w:footnote>
  <w:footnote w:type="continuationSeparator" w:id="0">
    <w:p w14:paraId="2B28EFEB" w14:textId="77777777" w:rsidR="002500A4" w:rsidRDefault="002500A4" w:rsidP="009975D9">
      <w:pPr>
        <w:spacing w:after="0" w:line="240" w:lineRule="auto"/>
      </w:pPr>
      <w:r>
        <w:continuationSeparator/>
      </w:r>
    </w:p>
  </w:footnote>
  <w:footnote w:type="continuationNotice" w:id="1">
    <w:p w14:paraId="0743A459" w14:textId="77777777" w:rsidR="002500A4" w:rsidRDefault="002500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36A4" w14:textId="77777777" w:rsidR="00F11FFB" w:rsidRDefault="00F11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EAE"/>
    <w:multiLevelType w:val="hybridMultilevel"/>
    <w:tmpl w:val="BCAC96F0"/>
    <w:lvl w:ilvl="0" w:tplc="C7185A24">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277BD"/>
    <w:multiLevelType w:val="hybridMultilevel"/>
    <w:tmpl w:val="D214C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60F0B"/>
    <w:multiLevelType w:val="hybridMultilevel"/>
    <w:tmpl w:val="AF04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7677B"/>
    <w:multiLevelType w:val="hybridMultilevel"/>
    <w:tmpl w:val="6DE2F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57276E"/>
    <w:multiLevelType w:val="hybridMultilevel"/>
    <w:tmpl w:val="C89ED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F7EBC"/>
    <w:multiLevelType w:val="hybridMultilevel"/>
    <w:tmpl w:val="72C43240"/>
    <w:lvl w:ilvl="0" w:tplc="9918A7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A02370"/>
    <w:multiLevelType w:val="hybridMultilevel"/>
    <w:tmpl w:val="4AC25E62"/>
    <w:lvl w:ilvl="0" w:tplc="C7185A2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B1482"/>
    <w:multiLevelType w:val="hybridMultilevel"/>
    <w:tmpl w:val="017066C2"/>
    <w:lvl w:ilvl="0" w:tplc="08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21F32CC7"/>
    <w:multiLevelType w:val="hybridMultilevel"/>
    <w:tmpl w:val="A0709B18"/>
    <w:lvl w:ilvl="0" w:tplc="C7185A2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7D772D"/>
    <w:multiLevelType w:val="hybridMultilevel"/>
    <w:tmpl w:val="74C41206"/>
    <w:lvl w:ilvl="0" w:tplc="0409000F">
      <w:start w:val="1"/>
      <w:numFmt w:val="decimal"/>
      <w:lvlText w:val="%1."/>
      <w:lvlJc w:val="left"/>
      <w:pPr>
        <w:ind w:left="720" w:hanging="72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D0484A"/>
    <w:multiLevelType w:val="hybridMultilevel"/>
    <w:tmpl w:val="E7DC5EF4"/>
    <w:lvl w:ilvl="0" w:tplc="C7185A24">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14DAF"/>
    <w:multiLevelType w:val="hybridMultilevel"/>
    <w:tmpl w:val="ABA8F80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3E457D"/>
    <w:multiLevelType w:val="hybridMultilevel"/>
    <w:tmpl w:val="10A01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DF6002"/>
    <w:multiLevelType w:val="hybridMultilevel"/>
    <w:tmpl w:val="490CB1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7E7204"/>
    <w:multiLevelType w:val="hybridMultilevel"/>
    <w:tmpl w:val="B3B6F3C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D04624E"/>
    <w:multiLevelType w:val="multilevel"/>
    <w:tmpl w:val="15C68E4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E991159"/>
    <w:multiLevelType w:val="hybridMultilevel"/>
    <w:tmpl w:val="255EC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C023D4"/>
    <w:multiLevelType w:val="hybridMultilevel"/>
    <w:tmpl w:val="6CCC4460"/>
    <w:lvl w:ilvl="0" w:tplc="C7185A24">
      <w:numFmt w:val="bullet"/>
      <w:lvlText w:val="•"/>
      <w:lvlJc w:val="left"/>
      <w:pPr>
        <w:ind w:left="720" w:hanging="72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9A2F19"/>
    <w:multiLevelType w:val="hybridMultilevel"/>
    <w:tmpl w:val="145A113A"/>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B06268C"/>
    <w:multiLevelType w:val="hybridMultilevel"/>
    <w:tmpl w:val="F7D2C0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2700ABD"/>
    <w:multiLevelType w:val="hybridMultilevel"/>
    <w:tmpl w:val="C4824550"/>
    <w:lvl w:ilvl="0" w:tplc="502E6C2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DA74D44"/>
    <w:multiLevelType w:val="hybridMultilevel"/>
    <w:tmpl w:val="E7E4938E"/>
    <w:lvl w:ilvl="0" w:tplc="0409000F">
      <w:start w:val="1"/>
      <w:numFmt w:val="decimal"/>
      <w:lvlText w:val="%1."/>
      <w:lvlJc w:val="left"/>
      <w:pPr>
        <w:ind w:left="720" w:hanging="72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7"/>
  </w:num>
  <w:num w:numId="4">
    <w:abstractNumId w:val="12"/>
  </w:num>
  <w:num w:numId="5">
    <w:abstractNumId w:val="20"/>
  </w:num>
  <w:num w:numId="6">
    <w:abstractNumId w:val="6"/>
  </w:num>
  <w:num w:numId="7">
    <w:abstractNumId w:val="18"/>
  </w:num>
  <w:num w:numId="8">
    <w:abstractNumId w:val="10"/>
  </w:num>
  <w:num w:numId="9">
    <w:abstractNumId w:val="4"/>
  </w:num>
  <w:num w:numId="10">
    <w:abstractNumId w:val="0"/>
  </w:num>
  <w:num w:numId="11">
    <w:abstractNumId w:val="16"/>
  </w:num>
  <w:num w:numId="12">
    <w:abstractNumId w:val="15"/>
  </w:num>
  <w:num w:numId="13">
    <w:abstractNumId w:val="19"/>
  </w:num>
  <w:num w:numId="14">
    <w:abstractNumId w:val="11"/>
  </w:num>
  <w:num w:numId="15">
    <w:abstractNumId w:val="5"/>
  </w:num>
  <w:num w:numId="16">
    <w:abstractNumId w:val="13"/>
  </w:num>
  <w:num w:numId="17">
    <w:abstractNumId w:val="9"/>
  </w:num>
  <w:num w:numId="18">
    <w:abstractNumId w:val="21"/>
  </w:num>
  <w:num w:numId="19">
    <w:abstractNumId w:val="1"/>
  </w:num>
  <w:num w:numId="20">
    <w:abstractNumId w:val="7"/>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CFD"/>
    <w:rsid w:val="0002295E"/>
    <w:rsid w:val="00043FD0"/>
    <w:rsid w:val="0004619F"/>
    <w:rsid w:val="00053049"/>
    <w:rsid w:val="00056B4D"/>
    <w:rsid w:val="00071D3F"/>
    <w:rsid w:val="00072BD0"/>
    <w:rsid w:val="00074147"/>
    <w:rsid w:val="0009154B"/>
    <w:rsid w:val="000A0DFF"/>
    <w:rsid w:val="000A198C"/>
    <w:rsid w:val="000A7F0C"/>
    <w:rsid w:val="000C262E"/>
    <w:rsid w:val="000D49DA"/>
    <w:rsid w:val="000E232B"/>
    <w:rsid w:val="000F457D"/>
    <w:rsid w:val="000F593F"/>
    <w:rsid w:val="000F7EDD"/>
    <w:rsid w:val="00102401"/>
    <w:rsid w:val="00105377"/>
    <w:rsid w:val="0010590D"/>
    <w:rsid w:val="00125482"/>
    <w:rsid w:val="0013523B"/>
    <w:rsid w:val="001417FA"/>
    <w:rsid w:val="00163F1F"/>
    <w:rsid w:val="00164B62"/>
    <w:rsid w:val="0017021B"/>
    <w:rsid w:val="0018150E"/>
    <w:rsid w:val="00182417"/>
    <w:rsid w:val="00183ACB"/>
    <w:rsid w:val="00187676"/>
    <w:rsid w:val="001A474C"/>
    <w:rsid w:val="001B5D8F"/>
    <w:rsid w:val="001C5F4F"/>
    <w:rsid w:val="001D3766"/>
    <w:rsid w:val="001D3BB5"/>
    <w:rsid w:val="001E4777"/>
    <w:rsid w:val="001F2997"/>
    <w:rsid w:val="001F4561"/>
    <w:rsid w:val="002037C6"/>
    <w:rsid w:val="00205A51"/>
    <w:rsid w:val="002069C2"/>
    <w:rsid w:val="00221B41"/>
    <w:rsid w:val="0023306E"/>
    <w:rsid w:val="002500A4"/>
    <w:rsid w:val="00252D1E"/>
    <w:rsid w:val="00263BDD"/>
    <w:rsid w:val="00267FA8"/>
    <w:rsid w:val="00277F30"/>
    <w:rsid w:val="002B0114"/>
    <w:rsid w:val="002D4723"/>
    <w:rsid w:val="002D5E97"/>
    <w:rsid w:val="002E09E1"/>
    <w:rsid w:val="002E1E17"/>
    <w:rsid w:val="002E2B25"/>
    <w:rsid w:val="002E4AD7"/>
    <w:rsid w:val="0030195F"/>
    <w:rsid w:val="0030397D"/>
    <w:rsid w:val="003118B1"/>
    <w:rsid w:val="00320BE1"/>
    <w:rsid w:val="00335CF7"/>
    <w:rsid w:val="0033767F"/>
    <w:rsid w:val="00337842"/>
    <w:rsid w:val="00342937"/>
    <w:rsid w:val="0034438D"/>
    <w:rsid w:val="00344EFC"/>
    <w:rsid w:val="0035107B"/>
    <w:rsid w:val="0035560D"/>
    <w:rsid w:val="00362656"/>
    <w:rsid w:val="00375D80"/>
    <w:rsid w:val="00380026"/>
    <w:rsid w:val="0038672C"/>
    <w:rsid w:val="0039625C"/>
    <w:rsid w:val="003A11F2"/>
    <w:rsid w:val="003B11B1"/>
    <w:rsid w:val="003B26B7"/>
    <w:rsid w:val="003B44CE"/>
    <w:rsid w:val="003F4BF0"/>
    <w:rsid w:val="00421AA8"/>
    <w:rsid w:val="00423612"/>
    <w:rsid w:val="0042432A"/>
    <w:rsid w:val="00437A29"/>
    <w:rsid w:val="0044171B"/>
    <w:rsid w:val="00452BBB"/>
    <w:rsid w:val="00475534"/>
    <w:rsid w:val="0047765E"/>
    <w:rsid w:val="00492833"/>
    <w:rsid w:val="004A187D"/>
    <w:rsid w:val="004B4182"/>
    <w:rsid w:val="004C13F7"/>
    <w:rsid w:val="004E20A5"/>
    <w:rsid w:val="0052348B"/>
    <w:rsid w:val="00532844"/>
    <w:rsid w:val="00553BAF"/>
    <w:rsid w:val="00555217"/>
    <w:rsid w:val="005732F2"/>
    <w:rsid w:val="00580A1D"/>
    <w:rsid w:val="00582BCF"/>
    <w:rsid w:val="0059252B"/>
    <w:rsid w:val="00594608"/>
    <w:rsid w:val="005A01FA"/>
    <w:rsid w:val="005A5752"/>
    <w:rsid w:val="005A5ED0"/>
    <w:rsid w:val="005B378C"/>
    <w:rsid w:val="005B4F86"/>
    <w:rsid w:val="005D2711"/>
    <w:rsid w:val="005E1416"/>
    <w:rsid w:val="005E402E"/>
    <w:rsid w:val="005E5384"/>
    <w:rsid w:val="005F6430"/>
    <w:rsid w:val="00603E9E"/>
    <w:rsid w:val="00622E2F"/>
    <w:rsid w:val="0062778F"/>
    <w:rsid w:val="006401ED"/>
    <w:rsid w:val="00640B09"/>
    <w:rsid w:val="0064351A"/>
    <w:rsid w:val="00643E74"/>
    <w:rsid w:val="006727FF"/>
    <w:rsid w:val="00676C6B"/>
    <w:rsid w:val="0069148F"/>
    <w:rsid w:val="00692B7C"/>
    <w:rsid w:val="00694499"/>
    <w:rsid w:val="0069704A"/>
    <w:rsid w:val="006A5E5C"/>
    <w:rsid w:val="006A6BE9"/>
    <w:rsid w:val="006B5245"/>
    <w:rsid w:val="006C3C19"/>
    <w:rsid w:val="006E155C"/>
    <w:rsid w:val="006E377E"/>
    <w:rsid w:val="006E5945"/>
    <w:rsid w:val="006E77AC"/>
    <w:rsid w:val="006F1E58"/>
    <w:rsid w:val="00707F51"/>
    <w:rsid w:val="007159E1"/>
    <w:rsid w:val="00724024"/>
    <w:rsid w:val="00724BBD"/>
    <w:rsid w:val="00734AC9"/>
    <w:rsid w:val="00742CA2"/>
    <w:rsid w:val="0074738E"/>
    <w:rsid w:val="00764FE8"/>
    <w:rsid w:val="0077035B"/>
    <w:rsid w:val="00790B30"/>
    <w:rsid w:val="007B4A13"/>
    <w:rsid w:val="007D3F11"/>
    <w:rsid w:val="007E0655"/>
    <w:rsid w:val="00812CDF"/>
    <w:rsid w:val="00830FDF"/>
    <w:rsid w:val="0086729F"/>
    <w:rsid w:val="00867D43"/>
    <w:rsid w:val="008721C4"/>
    <w:rsid w:val="008A059C"/>
    <w:rsid w:val="008C2862"/>
    <w:rsid w:val="008D65B1"/>
    <w:rsid w:val="008E0A8E"/>
    <w:rsid w:val="008F3A14"/>
    <w:rsid w:val="00915737"/>
    <w:rsid w:val="009206D8"/>
    <w:rsid w:val="009218DC"/>
    <w:rsid w:val="00932443"/>
    <w:rsid w:val="009467E9"/>
    <w:rsid w:val="009473AC"/>
    <w:rsid w:val="0095260B"/>
    <w:rsid w:val="00954F5B"/>
    <w:rsid w:val="009561AE"/>
    <w:rsid w:val="00983B6B"/>
    <w:rsid w:val="0098785A"/>
    <w:rsid w:val="009975D9"/>
    <w:rsid w:val="009B5C03"/>
    <w:rsid w:val="009F6287"/>
    <w:rsid w:val="00A03F75"/>
    <w:rsid w:val="00A12429"/>
    <w:rsid w:val="00A12CE1"/>
    <w:rsid w:val="00A16C39"/>
    <w:rsid w:val="00A453FB"/>
    <w:rsid w:val="00A466C5"/>
    <w:rsid w:val="00A50186"/>
    <w:rsid w:val="00A5441D"/>
    <w:rsid w:val="00A6268B"/>
    <w:rsid w:val="00A73504"/>
    <w:rsid w:val="00A974CC"/>
    <w:rsid w:val="00AA2E5D"/>
    <w:rsid w:val="00AB0DB6"/>
    <w:rsid w:val="00AD5A7E"/>
    <w:rsid w:val="00AF10F2"/>
    <w:rsid w:val="00B0073C"/>
    <w:rsid w:val="00B10E4E"/>
    <w:rsid w:val="00B148C1"/>
    <w:rsid w:val="00B441DD"/>
    <w:rsid w:val="00B45011"/>
    <w:rsid w:val="00B45292"/>
    <w:rsid w:val="00B610B7"/>
    <w:rsid w:val="00B650B1"/>
    <w:rsid w:val="00B66531"/>
    <w:rsid w:val="00BA08D3"/>
    <w:rsid w:val="00BA68BA"/>
    <w:rsid w:val="00BC06AC"/>
    <w:rsid w:val="00BC0CFD"/>
    <w:rsid w:val="00BC5BE8"/>
    <w:rsid w:val="00BD1543"/>
    <w:rsid w:val="00BD3ABE"/>
    <w:rsid w:val="00BD460A"/>
    <w:rsid w:val="00BE0A8D"/>
    <w:rsid w:val="00C30CE8"/>
    <w:rsid w:val="00C34BC1"/>
    <w:rsid w:val="00C54F80"/>
    <w:rsid w:val="00C56A19"/>
    <w:rsid w:val="00C74FB3"/>
    <w:rsid w:val="00C93D04"/>
    <w:rsid w:val="00CA2BDE"/>
    <w:rsid w:val="00CC0C2C"/>
    <w:rsid w:val="00CC38B4"/>
    <w:rsid w:val="00CE2003"/>
    <w:rsid w:val="00CE7E81"/>
    <w:rsid w:val="00CF54EB"/>
    <w:rsid w:val="00D0561F"/>
    <w:rsid w:val="00D14BFC"/>
    <w:rsid w:val="00D15C1F"/>
    <w:rsid w:val="00D22FE3"/>
    <w:rsid w:val="00D26AE3"/>
    <w:rsid w:val="00D433E3"/>
    <w:rsid w:val="00D45B18"/>
    <w:rsid w:val="00D54243"/>
    <w:rsid w:val="00D62D27"/>
    <w:rsid w:val="00D67C2D"/>
    <w:rsid w:val="00D67D7C"/>
    <w:rsid w:val="00D968A7"/>
    <w:rsid w:val="00DC1ECA"/>
    <w:rsid w:val="00DC2A9A"/>
    <w:rsid w:val="00DC519B"/>
    <w:rsid w:val="00DC5780"/>
    <w:rsid w:val="00DD37BA"/>
    <w:rsid w:val="00DD46A1"/>
    <w:rsid w:val="00DF72C2"/>
    <w:rsid w:val="00E21822"/>
    <w:rsid w:val="00E238AB"/>
    <w:rsid w:val="00E3425C"/>
    <w:rsid w:val="00E37348"/>
    <w:rsid w:val="00E46652"/>
    <w:rsid w:val="00E5066E"/>
    <w:rsid w:val="00E622D4"/>
    <w:rsid w:val="00E66C2A"/>
    <w:rsid w:val="00E73A87"/>
    <w:rsid w:val="00E901B0"/>
    <w:rsid w:val="00E95A56"/>
    <w:rsid w:val="00EB2CD6"/>
    <w:rsid w:val="00EB7998"/>
    <w:rsid w:val="00EC5720"/>
    <w:rsid w:val="00EC57BD"/>
    <w:rsid w:val="00ED54E6"/>
    <w:rsid w:val="00F1003B"/>
    <w:rsid w:val="00F11FFB"/>
    <w:rsid w:val="00F1379D"/>
    <w:rsid w:val="00F15F57"/>
    <w:rsid w:val="00F20F73"/>
    <w:rsid w:val="00F21D90"/>
    <w:rsid w:val="00F26C9F"/>
    <w:rsid w:val="00F26F46"/>
    <w:rsid w:val="00F54F60"/>
    <w:rsid w:val="00F7119C"/>
    <w:rsid w:val="00F741A0"/>
    <w:rsid w:val="00F855AE"/>
    <w:rsid w:val="00F9077A"/>
    <w:rsid w:val="00F90A2F"/>
    <w:rsid w:val="00F9503A"/>
    <w:rsid w:val="00FA0BEC"/>
    <w:rsid w:val="00FA6FEA"/>
    <w:rsid w:val="00FD42BD"/>
    <w:rsid w:val="00FE1675"/>
    <w:rsid w:val="00FE42E0"/>
    <w:rsid w:val="00FF2C14"/>
    <w:rsid w:val="00FF5493"/>
    <w:rsid w:val="00FF71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0F44B"/>
  <w15:chartTrackingRefBased/>
  <w15:docId w15:val="{A361FC74-6D63-4283-85AC-94A47547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C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C0C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CF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C0CFD"/>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BC0CF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C0CFD"/>
    <w:rPr>
      <w:rFonts w:eastAsiaTheme="minorEastAsia"/>
      <w:color w:val="5A5A5A" w:themeColor="text1" w:themeTint="A5"/>
      <w:spacing w:val="15"/>
    </w:rPr>
  </w:style>
  <w:style w:type="paragraph" w:styleId="ListParagraph">
    <w:name w:val="List Paragraph"/>
    <w:aliases w:val="Recommendation,List Paragraph1,List Paragraph11,L"/>
    <w:basedOn w:val="Normal"/>
    <w:link w:val="ListParagraphChar"/>
    <w:uiPriority w:val="34"/>
    <w:qFormat/>
    <w:rsid w:val="00BC0CFD"/>
    <w:pPr>
      <w:ind w:left="720"/>
      <w:contextualSpacing/>
    </w:pPr>
  </w:style>
  <w:style w:type="character" w:styleId="Hyperlink">
    <w:name w:val="Hyperlink"/>
    <w:basedOn w:val="DefaultParagraphFont"/>
    <w:uiPriority w:val="99"/>
    <w:unhideWhenUsed/>
    <w:rsid w:val="005B4F86"/>
    <w:rPr>
      <w:color w:val="0563C1" w:themeColor="hyperlink"/>
      <w:u w:val="single"/>
    </w:rPr>
  </w:style>
  <w:style w:type="paragraph" w:styleId="BalloonText">
    <w:name w:val="Balloon Text"/>
    <w:basedOn w:val="Normal"/>
    <w:link w:val="BalloonTextChar"/>
    <w:uiPriority w:val="99"/>
    <w:semiHidden/>
    <w:unhideWhenUsed/>
    <w:rsid w:val="00E50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66E"/>
    <w:rPr>
      <w:rFonts w:ascii="Segoe UI" w:hAnsi="Segoe UI" w:cs="Segoe UI"/>
      <w:sz w:val="18"/>
      <w:szCs w:val="18"/>
    </w:rPr>
  </w:style>
  <w:style w:type="character" w:styleId="CommentReference">
    <w:name w:val="annotation reference"/>
    <w:basedOn w:val="DefaultParagraphFont"/>
    <w:uiPriority w:val="99"/>
    <w:semiHidden/>
    <w:unhideWhenUsed/>
    <w:rsid w:val="00DC5780"/>
    <w:rPr>
      <w:sz w:val="16"/>
      <w:szCs w:val="16"/>
    </w:rPr>
  </w:style>
  <w:style w:type="paragraph" w:styleId="CommentText">
    <w:name w:val="annotation text"/>
    <w:basedOn w:val="Normal"/>
    <w:link w:val="CommentTextChar"/>
    <w:uiPriority w:val="99"/>
    <w:semiHidden/>
    <w:unhideWhenUsed/>
    <w:rsid w:val="00DC5780"/>
    <w:pPr>
      <w:spacing w:line="240" w:lineRule="auto"/>
    </w:pPr>
    <w:rPr>
      <w:sz w:val="20"/>
      <w:szCs w:val="20"/>
    </w:rPr>
  </w:style>
  <w:style w:type="character" w:customStyle="1" w:styleId="CommentTextChar">
    <w:name w:val="Comment Text Char"/>
    <w:basedOn w:val="DefaultParagraphFont"/>
    <w:link w:val="CommentText"/>
    <w:uiPriority w:val="99"/>
    <w:semiHidden/>
    <w:rsid w:val="00DC5780"/>
    <w:rPr>
      <w:sz w:val="20"/>
      <w:szCs w:val="20"/>
    </w:rPr>
  </w:style>
  <w:style w:type="paragraph" w:styleId="CommentSubject">
    <w:name w:val="annotation subject"/>
    <w:basedOn w:val="CommentText"/>
    <w:next w:val="CommentText"/>
    <w:link w:val="CommentSubjectChar"/>
    <w:uiPriority w:val="99"/>
    <w:semiHidden/>
    <w:unhideWhenUsed/>
    <w:rsid w:val="00DC5780"/>
    <w:rPr>
      <w:b/>
      <w:bCs/>
    </w:rPr>
  </w:style>
  <w:style w:type="character" w:customStyle="1" w:styleId="CommentSubjectChar">
    <w:name w:val="Comment Subject Char"/>
    <w:basedOn w:val="CommentTextChar"/>
    <w:link w:val="CommentSubject"/>
    <w:uiPriority w:val="99"/>
    <w:semiHidden/>
    <w:rsid w:val="00DC5780"/>
    <w:rPr>
      <w:b/>
      <w:bCs/>
      <w:sz w:val="20"/>
      <w:szCs w:val="20"/>
    </w:rPr>
  </w:style>
  <w:style w:type="table" w:styleId="TableGrid">
    <w:name w:val="Table Grid"/>
    <w:basedOn w:val="TableNormal"/>
    <w:uiPriority w:val="39"/>
    <w:rsid w:val="00424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75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75D9"/>
    <w:rPr>
      <w:sz w:val="20"/>
      <w:szCs w:val="20"/>
    </w:rPr>
  </w:style>
  <w:style w:type="character" w:styleId="FootnoteReference">
    <w:name w:val="footnote reference"/>
    <w:basedOn w:val="DefaultParagraphFont"/>
    <w:uiPriority w:val="99"/>
    <w:semiHidden/>
    <w:unhideWhenUsed/>
    <w:rsid w:val="009975D9"/>
    <w:rPr>
      <w:vertAlign w:val="superscript"/>
    </w:rPr>
  </w:style>
  <w:style w:type="character" w:customStyle="1" w:styleId="ListParagraphChar">
    <w:name w:val="List Paragraph Char"/>
    <w:aliases w:val="Recommendation Char,List Paragraph1 Char,List Paragraph11 Char,L Char"/>
    <w:link w:val="ListParagraph"/>
    <w:uiPriority w:val="34"/>
    <w:locked/>
    <w:rsid w:val="00D26AE3"/>
  </w:style>
  <w:style w:type="character" w:styleId="UnresolvedMention">
    <w:name w:val="Unresolved Mention"/>
    <w:basedOn w:val="DefaultParagraphFont"/>
    <w:uiPriority w:val="99"/>
    <w:semiHidden/>
    <w:unhideWhenUsed/>
    <w:rsid w:val="007E0655"/>
    <w:rPr>
      <w:color w:val="605E5C"/>
      <w:shd w:val="clear" w:color="auto" w:fill="E1DFDD"/>
    </w:rPr>
  </w:style>
  <w:style w:type="paragraph" w:styleId="Header">
    <w:name w:val="header"/>
    <w:basedOn w:val="Normal"/>
    <w:link w:val="HeaderChar"/>
    <w:uiPriority w:val="99"/>
    <w:unhideWhenUsed/>
    <w:rsid w:val="00F11F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FFB"/>
  </w:style>
  <w:style w:type="paragraph" w:styleId="Footer">
    <w:name w:val="footer"/>
    <w:basedOn w:val="Normal"/>
    <w:link w:val="FooterChar"/>
    <w:uiPriority w:val="99"/>
    <w:unhideWhenUsed/>
    <w:rsid w:val="00F11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8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lo.org/global/programmes-and-projects/prospects/countries/sudan/lang--e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6964A-7F54-4D4D-A1EB-C29D96FA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Kirsch, Helen</dc:creator>
  <cp:keywords/>
  <dc:description/>
  <cp:lastModifiedBy>Sirelkhatim, Fatima Elsanousi</cp:lastModifiedBy>
  <cp:revision>2</cp:revision>
  <cp:lastPrinted>2022-05-23T08:05:00Z</cp:lastPrinted>
  <dcterms:created xsi:type="dcterms:W3CDTF">2022-06-19T11:28:00Z</dcterms:created>
  <dcterms:modified xsi:type="dcterms:W3CDTF">2022-06-19T11:28:00Z</dcterms:modified>
</cp:coreProperties>
</file>